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5E1029" w:rsidRPr="008A4568" w:rsidTr="00C7767F">
        <w:trPr>
          <w:trHeight w:val="1219"/>
        </w:trPr>
        <w:tc>
          <w:tcPr>
            <w:tcW w:w="903" w:type="dxa"/>
          </w:tcPr>
          <w:p w:rsidR="005E1029" w:rsidRPr="005D57A7" w:rsidRDefault="005E1029" w:rsidP="00C7767F">
            <w:pPr>
              <w:pStyle w:val="2"/>
              <w:rPr>
                <w:sz w:val="20"/>
              </w:rPr>
            </w:pPr>
          </w:p>
          <w:p w:rsidR="005E1029" w:rsidRPr="005D57A7" w:rsidRDefault="005E1029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2029" r:id="rId5"/>
              </w:object>
            </w:r>
          </w:p>
          <w:p w:rsidR="005E1029" w:rsidRPr="005D57A7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5E1029" w:rsidRPr="005D57A7" w:rsidRDefault="005E1029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5E1029" w:rsidRPr="005D57A7" w:rsidRDefault="005E102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5E1029" w:rsidRPr="005D57A7" w:rsidRDefault="005E102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5E1029" w:rsidRPr="005D57A7" w:rsidRDefault="005E1029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E1029" w:rsidRPr="005D57A7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E1029" w:rsidRPr="005D57A7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5E1029" w:rsidRPr="005D57A7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5E1029" w:rsidRPr="005D57A7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5E1029" w:rsidRPr="008A4568" w:rsidRDefault="005E1029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5E1029" w:rsidRPr="0043051D" w:rsidRDefault="005E1029" w:rsidP="005E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E1029" w:rsidRPr="0043051D" w:rsidRDefault="005E1029" w:rsidP="005E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5E1029" w:rsidRDefault="005E1029" w:rsidP="005E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«ЭКОНОМИЧЕСКИЕ АСПЕКТЫ ЭНЕРГОАУДИТА»</w:t>
      </w:r>
    </w:p>
    <w:p w:rsidR="005E1029" w:rsidRPr="00762DFC" w:rsidRDefault="005E1029" w:rsidP="005E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(256 академических часов)</w:t>
      </w:r>
    </w:p>
    <w:p w:rsidR="005E1029" w:rsidRPr="00CE7F1B" w:rsidRDefault="005E1029" w:rsidP="005E1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29" w:rsidRPr="0001126F" w:rsidRDefault="005E1029" w:rsidP="005E1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126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5E1029" w:rsidRPr="00CE7F1B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7F1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CE7F1B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Pr="00CB06C9">
        <w:rPr>
          <w:rFonts w:ascii="Times New Roman" w:hAnsi="Times New Roman" w:cs="Times New Roman"/>
          <w:sz w:val="28"/>
          <w:szCs w:val="28"/>
        </w:rPr>
        <w:t xml:space="preserve"> является научиться оценивать эффективность использования топливно-энергетических ресурсов; разрабатывать эффективные меры для снижения затрат предприятия; ознакомиться с методологией проведения </w:t>
      </w:r>
      <w:proofErr w:type="spellStart"/>
      <w:r w:rsidRPr="00CB06C9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CB0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029" w:rsidRPr="00CB06C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9">
        <w:rPr>
          <w:rFonts w:ascii="Times New Roman" w:hAnsi="Times New Roman" w:cs="Times New Roman"/>
          <w:sz w:val="28"/>
          <w:szCs w:val="28"/>
        </w:rPr>
        <w:t>Задачи: научиться определять количественные значения потребления энергоресурсов на предприятии. Это дает возможность разработать энергетические балансы всех энергоресурсов предприятия, выявить основных потребителей каждого энергоресурса, определить места потерь и сосредоточить усилия на детальном обследовании основных потребителей и наиболее вероятных мест экономии; научиться разрабатывать энергосберегающие проекты. Подготовка энергосберегающего проекта подразумевает техническую проработку, определение возможных поставщиков оборудования, оценку стоимости проекта, срока его окупаемости.</w:t>
      </w:r>
    </w:p>
    <w:p w:rsidR="005E1029" w:rsidRPr="003066EF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3066EF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 xml:space="preserve">Экономические аспекты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энергоадита</w:t>
      </w:r>
      <w:proofErr w:type="spellEnd"/>
      <w:r w:rsidRPr="003066EF">
        <w:rPr>
          <w:rFonts w:ascii="Times New Roman" w:hAnsi="Times New Roman" w:cs="Times New Roman"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включает: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энергомониторинг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 — отслеживание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ановленных и фактических </w:t>
      </w:r>
      <w:r w:rsidRPr="00CC1AE9">
        <w:rPr>
          <w:rFonts w:ascii="Times New Roman" w:hAnsi="Times New Roman" w:cs="Times New Roman"/>
          <w:sz w:val="28"/>
          <w:szCs w:val="28"/>
        </w:rPr>
        <w:t>параметров энергопотребления;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> - измерения (замеры) — определение с помощью специальных приборов (средств измерения, средств учета) параметров в контрольных точках;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>- опросы и анкетирование участников процесса производства или потребления энергоресурса; 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>- изучение сопутствующей нормативной базы, руководящих документов и инструкций на предприятии; 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>- расчеты экономической эффективности внедрения тех или иных организационных предложений, либо инвестиций в энергосберегающие технологии (устройства); 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- составление отчета, содержащего результаты проведенного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 и рекомендации.</w:t>
      </w:r>
    </w:p>
    <w:p w:rsidR="005E1029" w:rsidRDefault="005E1029" w:rsidP="005E1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E1029" w:rsidRPr="00CE7F1B" w:rsidRDefault="005E1029" w:rsidP="005E1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Pr="00CE7F1B">
        <w:rPr>
          <w:rFonts w:ascii="Times New Roman" w:hAnsi="Times New Roman" w:cs="Times New Roman"/>
          <w:b/>
          <w:iCs/>
          <w:sz w:val="28"/>
          <w:szCs w:val="28"/>
        </w:rPr>
        <w:t>Требования к результатам освоения программы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 w:rsidRPr="00CE7F1B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CC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нормативно-правовую базу отношения между предприятием, государством и энергосберегающей организацией;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внутренние документы энергосберегающей организации;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основные, формальные и дополнительные задачи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требования, предъявляемым к организациям, проводящим энергетические обследования; </w:t>
      </w:r>
      <w:proofErr w:type="gramEnd"/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классификацию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энергообследований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этапы проведения энергетического обследования;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кодекс этики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энергоаудитора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сроки и периодичность проведения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основной и дополнительный состав </w:t>
      </w:r>
      <w:proofErr w:type="spellStart"/>
      <w:r w:rsidRPr="00CC1AE9">
        <w:rPr>
          <w:rFonts w:ascii="Times New Roman" w:hAnsi="Times New Roman" w:cs="Times New Roman"/>
          <w:sz w:val="28"/>
          <w:szCs w:val="28"/>
        </w:rPr>
        <w:t>энерголаборатории</w:t>
      </w:r>
      <w:proofErr w:type="spellEnd"/>
      <w:r w:rsidRPr="00CC1A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>структуру энергетического паспорта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E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CC1AE9">
        <w:rPr>
          <w:rFonts w:ascii="Times New Roman" w:hAnsi="Times New Roman" w:cs="Times New Roman"/>
          <w:sz w:val="28"/>
          <w:szCs w:val="28"/>
        </w:rPr>
        <w:t xml:space="preserve"> </w:t>
      </w:r>
      <w:r w:rsidRPr="00CE7F1B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C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оценивать эффективность использования топливно-энергетических ресурсов;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разрабатывать эффективные меры для снижения затрат предприятия;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 xml:space="preserve">разрабатывать энергетический паспорт обследуемого объекта; 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E9">
        <w:rPr>
          <w:rFonts w:ascii="Times New Roman" w:hAnsi="Times New Roman" w:cs="Times New Roman"/>
          <w:sz w:val="28"/>
          <w:szCs w:val="28"/>
        </w:rPr>
        <w:t>оформлять результа</w:t>
      </w:r>
      <w:r>
        <w:rPr>
          <w:rFonts w:ascii="Times New Roman" w:hAnsi="Times New Roman" w:cs="Times New Roman"/>
          <w:sz w:val="28"/>
          <w:szCs w:val="28"/>
        </w:rPr>
        <w:t>ты энергетического обследования.</w:t>
      </w:r>
    </w:p>
    <w:p w:rsidR="005E1029" w:rsidRPr="00CC1AE9" w:rsidRDefault="005E1029" w:rsidP="005E1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t>1.4. Требования к уровню подготовки поступающего на обучение, 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5E1029" w:rsidRPr="001A129C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5E1029" w:rsidRPr="00463D70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256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5E1029" w:rsidRPr="004042C2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5E1029" w:rsidRPr="004042C2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5E1029" w:rsidRDefault="005E1029" w:rsidP="005E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5E1029" w:rsidRPr="0001126F" w:rsidRDefault="005E1029" w:rsidP="005E1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01126F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5E1029" w:rsidRDefault="005E1029" w:rsidP="005E1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2"/>
        <w:gridCol w:w="835"/>
        <w:gridCol w:w="993"/>
        <w:gridCol w:w="1701"/>
        <w:gridCol w:w="1701"/>
        <w:gridCol w:w="1253"/>
      </w:tblGrid>
      <w:tr w:rsidR="005E1029" w:rsidRPr="00457642" w:rsidTr="00C7767F">
        <w:trPr>
          <w:trHeight w:val="308"/>
        </w:trPr>
        <w:tc>
          <w:tcPr>
            <w:tcW w:w="540" w:type="dxa"/>
            <w:vMerge w:val="restart"/>
          </w:tcPr>
          <w:p w:rsidR="005E1029" w:rsidRPr="00457642" w:rsidRDefault="005E1029" w:rsidP="00C7767F">
            <w:pPr>
              <w:pStyle w:val="Default"/>
              <w:jc w:val="center"/>
            </w:pPr>
            <w:proofErr w:type="spellStart"/>
            <w:proofErr w:type="gramStart"/>
            <w:r w:rsidRPr="00457642">
              <w:t>п</w:t>
            </w:r>
            <w:proofErr w:type="spellEnd"/>
            <w:proofErr w:type="gramEnd"/>
            <w:r w:rsidRPr="00457642">
              <w:t>/</w:t>
            </w:r>
            <w:proofErr w:type="spellStart"/>
            <w:r w:rsidRPr="00457642">
              <w:t>п</w:t>
            </w:r>
            <w:proofErr w:type="spellEnd"/>
          </w:p>
        </w:tc>
        <w:tc>
          <w:tcPr>
            <w:tcW w:w="2702" w:type="dxa"/>
            <w:vMerge w:val="restart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Наименование разделов и дисциплины</w:t>
            </w:r>
          </w:p>
        </w:tc>
        <w:tc>
          <w:tcPr>
            <w:tcW w:w="835" w:type="dxa"/>
            <w:vMerge w:val="restart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Всего часов</w:t>
            </w:r>
          </w:p>
        </w:tc>
        <w:tc>
          <w:tcPr>
            <w:tcW w:w="4395" w:type="dxa"/>
            <w:gridSpan w:val="3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В том числе:</w:t>
            </w:r>
          </w:p>
        </w:tc>
        <w:tc>
          <w:tcPr>
            <w:tcW w:w="1253" w:type="dxa"/>
            <w:vMerge w:val="restart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Формы контроля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  <w:vMerge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2702" w:type="dxa"/>
            <w:vMerge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835" w:type="dxa"/>
            <w:vMerge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Лекции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Лабораторные занятия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Практические занятия</w:t>
            </w:r>
          </w:p>
        </w:tc>
        <w:tc>
          <w:tcPr>
            <w:tcW w:w="1253" w:type="dxa"/>
            <w:vMerge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 xml:space="preserve">Нормативно-правовое регулирование отношений между государством, предприятием и </w:t>
            </w:r>
            <w:proofErr w:type="spellStart"/>
            <w:r w:rsidRPr="00457642">
              <w:t>энергоснабжающей</w:t>
            </w:r>
            <w:proofErr w:type="spellEnd"/>
            <w:r w:rsidRPr="00457642">
              <w:t xml:space="preserve"> </w:t>
            </w:r>
            <w:r w:rsidRPr="00457642">
              <w:lastRenderedPageBreak/>
              <w:t>организацией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lastRenderedPageBreak/>
              <w:t>24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24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lastRenderedPageBreak/>
              <w:t>2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 xml:space="preserve">Понятие и сущность </w:t>
            </w:r>
            <w:proofErr w:type="spellStart"/>
            <w:r w:rsidRPr="00457642">
              <w:t>энергоаудита</w:t>
            </w:r>
            <w:proofErr w:type="spellEnd"/>
            <w:r w:rsidRPr="00457642">
              <w:t xml:space="preserve">. Предмет и методы </w:t>
            </w:r>
            <w:proofErr w:type="spellStart"/>
            <w:r w:rsidRPr="00457642">
              <w:t>энергоаудита</w:t>
            </w:r>
            <w:proofErr w:type="spellEnd"/>
            <w:r w:rsidRPr="00457642">
              <w:t xml:space="preserve">. Цели и задачи </w:t>
            </w:r>
            <w:proofErr w:type="spellStart"/>
            <w:r w:rsidRPr="00457642">
              <w:t>энергоаудита</w:t>
            </w:r>
            <w:proofErr w:type="spellEnd"/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20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20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3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>Нормативно-правовая база проведения энергетических обследований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36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20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4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>Методология проведения энергетических обследований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36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20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5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>Приборы и системы контроля и учета потребления энергоресурсов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28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14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14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6.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>Энергетические балансы предприятий, цехов, установок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36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18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18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7.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 xml:space="preserve">Программа повышения </w:t>
            </w:r>
            <w:proofErr w:type="spellStart"/>
            <w:r w:rsidRPr="00457642">
              <w:t>энергоэффективности</w:t>
            </w:r>
            <w:proofErr w:type="spellEnd"/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8.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 xml:space="preserve">Информационное обеспечение повышения </w:t>
            </w:r>
            <w:proofErr w:type="spellStart"/>
            <w:r w:rsidRPr="00457642">
              <w:t>энергоэффективности</w:t>
            </w:r>
            <w:proofErr w:type="spellEnd"/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28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12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307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9.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 xml:space="preserve">Энергетический паспорт потребителя </w:t>
            </w:r>
            <w:proofErr w:type="spellStart"/>
            <w:proofErr w:type="gramStart"/>
            <w:r w:rsidRPr="00457642">
              <w:t>топливно</w:t>
            </w:r>
            <w:proofErr w:type="spellEnd"/>
            <w:r w:rsidRPr="00457642">
              <w:t>- энергетических</w:t>
            </w:r>
            <w:proofErr w:type="gramEnd"/>
            <w:r w:rsidRPr="00457642">
              <w:t xml:space="preserve"> ресурсов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28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12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16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Зачѐт</w:t>
            </w:r>
          </w:p>
        </w:tc>
      </w:tr>
      <w:tr w:rsidR="005E1029" w:rsidRPr="00457642" w:rsidTr="00C7767F">
        <w:trPr>
          <w:trHeight w:val="840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10.</w:t>
            </w: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</w:pPr>
            <w:r w:rsidRPr="00457642">
              <w:t>Итоговый междисциплинарный экзамен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4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t>4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4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E1029" w:rsidRPr="00457642" w:rsidTr="00C7767F">
        <w:trPr>
          <w:trHeight w:val="78"/>
        </w:trPr>
        <w:tc>
          <w:tcPr>
            <w:tcW w:w="540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  <w:tc>
          <w:tcPr>
            <w:tcW w:w="2702" w:type="dxa"/>
          </w:tcPr>
          <w:p w:rsidR="005E1029" w:rsidRPr="00457642" w:rsidRDefault="005E1029" w:rsidP="00C7767F">
            <w:pPr>
              <w:pStyle w:val="Default"/>
              <w:jc w:val="center"/>
            </w:pPr>
            <w:r w:rsidRPr="00457642">
              <w:rPr>
                <w:b/>
                <w:bCs/>
              </w:rPr>
              <w:t>ВСЕГО ЧАСОВ</w:t>
            </w:r>
          </w:p>
        </w:tc>
        <w:tc>
          <w:tcPr>
            <w:tcW w:w="835" w:type="dxa"/>
          </w:tcPr>
          <w:p w:rsidR="005E1029" w:rsidRPr="00457642" w:rsidRDefault="005E1029" w:rsidP="00C7767F">
            <w:pPr>
              <w:pStyle w:val="Default"/>
              <w:jc w:val="center"/>
              <w:rPr>
                <w:b/>
              </w:rPr>
            </w:pPr>
            <w:r w:rsidRPr="00457642">
              <w:rPr>
                <w:b/>
              </w:rPr>
              <w:t>256</w:t>
            </w:r>
          </w:p>
        </w:tc>
        <w:tc>
          <w:tcPr>
            <w:tcW w:w="993" w:type="dxa"/>
          </w:tcPr>
          <w:p w:rsidR="005E1029" w:rsidRPr="00457642" w:rsidRDefault="005E1029" w:rsidP="00C7767F">
            <w:pPr>
              <w:pStyle w:val="Default"/>
              <w:jc w:val="center"/>
              <w:rPr>
                <w:b/>
              </w:rPr>
            </w:pPr>
            <w:r w:rsidRPr="00457642">
              <w:rPr>
                <w:b/>
              </w:rPr>
              <w:t>148</w:t>
            </w: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E1029" w:rsidRPr="00457642" w:rsidRDefault="005E1029" w:rsidP="00C7767F">
            <w:pPr>
              <w:pStyle w:val="Default"/>
              <w:jc w:val="center"/>
              <w:rPr>
                <w:b/>
              </w:rPr>
            </w:pPr>
            <w:r w:rsidRPr="00457642">
              <w:rPr>
                <w:b/>
              </w:rPr>
              <w:t>108</w:t>
            </w:r>
          </w:p>
        </w:tc>
        <w:tc>
          <w:tcPr>
            <w:tcW w:w="1253" w:type="dxa"/>
          </w:tcPr>
          <w:p w:rsidR="005E1029" w:rsidRPr="00457642" w:rsidRDefault="005E1029" w:rsidP="00C7767F">
            <w:pPr>
              <w:pStyle w:val="Default"/>
              <w:jc w:val="center"/>
            </w:pPr>
          </w:p>
        </w:tc>
      </w:tr>
    </w:tbl>
    <w:p w:rsidR="005E1029" w:rsidRDefault="005E1029" w:rsidP="005E10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66337" w:rsidRDefault="00566337" w:rsidP="005E1029"/>
    <w:sectPr w:rsidR="00566337" w:rsidSect="005E102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5E1029"/>
    <w:rsid w:val="00566337"/>
    <w:rsid w:val="005E1029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9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02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2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2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029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1029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1029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5E1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E1029"/>
    <w:rPr>
      <w:rFonts w:eastAsia="Times New Roman"/>
      <w:snapToGrid/>
      <w:spacing w:val="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E1029"/>
    <w:pPr>
      <w:ind w:left="720"/>
      <w:contextualSpacing/>
    </w:pPr>
  </w:style>
  <w:style w:type="paragraph" w:customStyle="1" w:styleId="Default">
    <w:name w:val="Default"/>
    <w:rsid w:val="005E1029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2019-08-08T09:20:00Z</dcterms:created>
  <dcterms:modified xsi:type="dcterms:W3CDTF">2019-08-08T09:20:00Z</dcterms:modified>
</cp:coreProperties>
</file>