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3"/>
        <w:gridCol w:w="9237"/>
      </w:tblGrid>
      <w:tr w:rsidR="00C306FF" w:rsidRPr="008A4568" w:rsidTr="00C7767F">
        <w:trPr>
          <w:trHeight w:val="1219"/>
        </w:trPr>
        <w:tc>
          <w:tcPr>
            <w:tcW w:w="903" w:type="dxa"/>
          </w:tcPr>
          <w:p w:rsidR="00C306FF" w:rsidRPr="005D57A7" w:rsidRDefault="00C306FF" w:rsidP="00C7767F">
            <w:pPr>
              <w:pStyle w:val="2"/>
              <w:rPr>
                <w:sz w:val="20"/>
              </w:rPr>
            </w:pPr>
          </w:p>
          <w:p w:rsidR="00C306FF" w:rsidRPr="005D57A7" w:rsidRDefault="00C306FF" w:rsidP="00C7767F">
            <w:pPr>
              <w:pStyle w:val="2"/>
            </w:pPr>
            <w:r w:rsidRPr="005D57A7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4pt" o:ole="">
                  <v:imagedata r:id="rId4" o:title=""/>
                </v:shape>
                <o:OLEObject Type="Embed" ProgID="MSDraw" ShapeID="_x0000_i1025" DrawAspect="Content" ObjectID="_1626771966" r:id="rId5"/>
              </w:object>
            </w:r>
          </w:p>
          <w:p w:rsidR="00C306FF" w:rsidRPr="005D57A7" w:rsidRDefault="00C306FF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7A7">
              <w:rPr>
                <w:rFonts w:ascii="Times New Roman" w:hAnsi="Times New Roman" w:cs="Times New Roman"/>
                <w:b/>
                <w:bCs/>
              </w:rPr>
              <w:t>КГЭУ</w:t>
            </w:r>
          </w:p>
        </w:tc>
        <w:tc>
          <w:tcPr>
            <w:tcW w:w="9237" w:type="dxa"/>
          </w:tcPr>
          <w:p w:rsidR="00C306FF" w:rsidRPr="005D57A7" w:rsidRDefault="00C306FF" w:rsidP="00C7767F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5D57A7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МИНИСТЕРСТВО НАУКИ И ВЫСШЕГО ОБРАЗОВАНИЯ РОССИЙСКОЙ ФЕДЕРАЦИИ</w:t>
            </w:r>
          </w:p>
          <w:p w:rsidR="00C306FF" w:rsidRPr="005D57A7" w:rsidRDefault="00C306FF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C306FF" w:rsidRPr="005D57A7" w:rsidRDefault="00C306FF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>высшего профессионального образования</w:t>
            </w:r>
          </w:p>
          <w:p w:rsidR="00C306FF" w:rsidRPr="005D57A7" w:rsidRDefault="00C306FF" w:rsidP="00C7767F">
            <w:pPr>
              <w:pStyle w:val="1"/>
              <w:spacing w:before="0"/>
              <w:ind w:hanging="18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5D57A7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C306FF" w:rsidRPr="005D57A7" w:rsidRDefault="00C306FF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306FF" w:rsidRPr="005D57A7" w:rsidRDefault="00C306FF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"/>
              </w:rPr>
            </w:pPr>
          </w:p>
          <w:p w:rsidR="00C306FF" w:rsidRPr="005D57A7" w:rsidRDefault="00C306FF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57A7">
              <w:rPr>
                <w:rFonts w:ascii="Times New Roman" w:hAnsi="Times New Roman" w:cs="Times New Roman"/>
                <w:bCs/>
              </w:rPr>
              <w:t>(ФГБОУ ВО «КГЭУ»)</w:t>
            </w:r>
          </w:p>
          <w:p w:rsidR="00C306FF" w:rsidRPr="005D57A7" w:rsidRDefault="00C306FF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306FF" w:rsidRPr="008A4568" w:rsidRDefault="00C306FF" w:rsidP="00C7767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</w:p>
        </w:tc>
      </w:tr>
    </w:tbl>
    <w:p w:rsidR="00C306FF" w:rsidRPr="0043051D" w:rsidRDefault="00C306FF" w:rsidP="00C3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1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306FF" w:rsidRPr="0043051D" w:rsidRDefault="00C306FF" w:rsidP="00C3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1D"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</w:t>
      </w:r>
    </w:p>
    <w:p w:rsidR="00C306FF" w:rsidRDefault="00C306FF" w:rsidP="00C3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«ЦИФРОВАЯ ЭНЕРГЕТИКА»</w:t>
      </w:r>
    </w:p>
    <w:p w:rsidR="00C306FF" w:rsidRDefault="00C306FF" w:rsidP="00C3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(250 академических часов)</w:t>
      </w:r>
    </w:p>
    <w:p w:rsidR="00C306FF" w:rsidRDefault="00C306FF" w:rsidP="00C3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6FF" w:rsidRPr="00E5208E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5208E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C306FF" w:rsidRPr="007023F6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023F6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7023F6">
        <w:rPr>
          <w:rFonts w:ascii="Times New Roman" w:hAnsi="Times New Roman" w:cs="Times New Roman"/>
          <w:b/>
          <w:iCs/>
          <w:sz w:val="28"/>
          <w:szCs w:val="28"/>
        </w:rPr>
        <w:t>Цель реализации программы</w:t>
      </w:r>
    </w:p>
    <w:p w:rsidR="00C306FF" w:rsidRPr="007F4F26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F26">
        <w:rPr>
          <w:rFonts w:ascii="Times New Roman" w:hAnsi="Times New Roman" w:cs="Times New Roman"/>
          <w:sz w:val="28"/>
          <w:szCs w:val="28"/>
        </w:rPr>
        <w:t>Целью является овладение новыми понятиями и методами построения цифровой энергетики,</w:t>
      </w:r>
      <w:r w:rsidRPr="007F4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F26">
        <w:rPr>
          <w:rFonts w:ascii="Times New Roman" w:hAnsi="Times New Roman" w:cs="Times New Roman"/>
          <w:sz w:val="28"/>
          <w:szCs w:val="28"/>
          <w:shd w:val="clear" w:color="auto" w:fill="FFFFFF"/>
        </w:rPr>
        <w:t>преобразование энергетической инфраструктуры Российской Федерации посредством внедрения цифровых технологий и платформенных решений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06FF" w:rsidRPr="003066EF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15">
        <w:rPr>
          <w:rFonts w:ascii="Times New Roman" w:hAnsi="Times New Roman" w:cs="Times New Roman"/>
          <w:b/>
          <w:sz w:val="28"/>
          <w:szCs w:val="28"/>
        </w:rPr>
        <w:t xml:space="preserve">1.2. Характеристика нового вида профессиональной деятельности, </w:t>
      </w:r>
      <w:r w:rsidRPr="003066EF">
        <w:rPr>
          <w:rFonts w:ascii="Times New Roman" w:hAnsi="Times New Roman" w:cs="Times New Roman"/>
          <w:b/>
          <w:sz w:val="28"/>
          <w:szCs w:val="28"/>
        </w:rPr>
        <w:t>новой квалификации</w:t>
      </w:r>
    </w:p>
    <w:p w:rsidR="00C306FF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66EF">
        <w:rPr>
          <w:rFonts w:ascii="Times New Roman" w:hAnsi="Times New Roman" w:cs="Times New Roman"/>
          <w:iCs/>
          <w:sz w:val="28"/>
          <w:szCs w:val="28"/>
        </w:rPr>
        <w:t xml:space="preserve">а) область профессиональной деятельности слушателя, прошедшего </w:t>
      </w:r>
      <w:proofErr w:type="gramStart"/>
      <w:r w:rsidRPr="003066EF">
        <w:rPr>
          <w:rFonts w:ascii="Times New Roman" w:hAnsi="Times New Roman" w:cs="Times New Roman"/>
          <w:iCs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EF">
        <w:rPr>
          <w:rFonts w:ascii="Times New Roman" w:hAnsi="Times New Roman" w:cs="Times New Roman"/>
          <w:iCs/>
          <w:sz w:val="28"/>
          <w:szCs w:val="28"/>
        </w:rPr>
        <w:t>профессиональной переподготовки для выполнения нового вида профессиональной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EF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Цифровая энергетика</w:t>
      </w:r>
      <w:r w:rsidRPr="003066EF">
        <w:rPr>
          <w:rFonts w:ascii="Times New Roman" w:hAnsi="Times New Roman" w:cs="Times New Roman"/>
          <w:iCs/>
          <w:sz w:val="28"/>
          <w:szCs w:val="28"/>
        </w:rPr>
        <w:t>»,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EF">
        <w:rPr>
          <w:rFonts w:ascii="Times New Roman" w:hAnsi="Times New Roman" w:cs="Times New Roman"/>
          <w:iCs/>
          <w:sz w:val="28"/>
          <w:szCs w:val="28"/>
        </w:rPr>
        <w:t>включает: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306FF" w:rsidRPr="007023F6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изучение планируемых и уже существующих нормативных документов;</w:t>
      </w:r>
    </w:p>
    <w:p w:rsidR="00C306FF" w:rsidRPr="007023F6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освоение нового понятийного аппарата;</w:t>
      </w:r>
      <w:r w:rsidRPr="00702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FF" w:rsidRPr="007023F6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обсуждение новой модели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энергорынка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распределительной энергетики;</w:t>
      </w:r>
    </w:p>
    <w:p w:rsidR="00C306FF" w:rsidRPr="007023F6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изучение новых технологических решений;</w:t>
      </w:r>
    </w:p>
    <w:p w:rsidR="00C306FF" w:rsidRPr="007023F6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разбор новой программно-технологической инфраструктуры модернизированного рынка;</w:t>
      </w:r>
    </w:p>
    <w:p w:rsidR="00C306FF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новых схем договорных и финансовых отношений.</w:t>
      </w:r>
    </w:p>
    <w:p w:rsidR="00C306FF" w:rsidRPr="00C869F7" w:rsidRDefault="00C306FF" w:rsidP="00C306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1.3. </w:t>
      </w:r>
      <w:r w:rsidRPr="00C869F7">
        <w:rPr>
          <w:rFonts w:ascii="Times New Roman" w:hAnsi="Times New Roman" w:cs="Times New Roman"/>
          <w:b/>
          <w:iCs/>
          <w:sz w:val="28"/>
          <w:szCs w:val="28"/>
        </w:rPr>
        <w:t>Требования к результатам освоения программы</w:t>
      </w:r>
    </w:p>
    <w:p w:rsidR="00C306FF" w:rsidRDefault="00C306FF" w:rsidP="00C306F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23F6">
        <w:rPr>
          <w:rFonts w:ascii="Times New Roman" w:eastAsia="Arial Unicode MS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eastAsia="Arial Unicode MS" w:hAnsi="Times New Roman" w:cs="Times New Roman"/>
          <w:sz w:val="28"/>
          <w:szCs w:val="28"/>
        </w:rPr>
        <w:t>программы</w:t>
      </w:r>
      <w:r w:rsidRPr="007023F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слушатель</w:t>
      </w:r>
      <w:r w:rsidRPr="007023F6">
        <w:rPr>
          <w:rFonts w:ascii="Times New Roman" w:eastAsia="Arial Unicode MS" w:hAnsi="Times New Roman" w:cs="Times New Roman"/>
          <w:sz w:val="28"/>
          <w:szCs w:val="28"/>
        </w:rPr>
        <w:t xml:space="preserve"> должен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изучить следующие аспекты:</w:t>
      </w:r>
    </w:p>
    <w:p w:rsidR="00C306FF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8F3975">
        <w:rPr>
          <w:rFonts w:ascii="Times New Roman" w:hAnsi="Times New Roman" w:cs="Times New Roman"/>
          <w:sz w:val="28"/>
        </w:rPr>
        <w:t>бзор инициатив по </w:t>
      </w:r>
      <w:proofErr w:type="spellStart"/>
      <w:r w:rsidRPr="008F3975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8F3975">
        <w:rPr>
          <w:rFonts w:ascii="Times New Roman" w:hAnsi="Times New Roman" w:cs="Times New Roman"/>
          <w:sz w:val="28"/>
        </w:rPr>
        <w:t xml:space="preserve"> в энергетике</w:t>
      </w:r>
      <w:r>
        <w:rPr>
          <w:rFonts w:ascii="Times New Roman" w:hAnsi="Times New Roman" w:cs="Times New Roman"/>
          <w:sz w:val="28"/>
        </w:rPr>
        <w:t>;</w:t>
      </w:r>
    </w:p>
    <w:p w:rsidR="00C306FF" w:rsidRDefault="00C306FF" w:rsidP="00C306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1126F">
        <w:rPr>
          <w:rFonts w:ascii="Times New Roman" w:hAnsi="Times New Roman"/>
          <w:sz w:val="28"/>
        </w:rPr>
        <w:t>- н</w:t>
      </w:r>
      <w:r w:rsidRPr="0001126F">
        <w:rPr>
          <w:rFonts w:ascii="Times New Roman" w:hAnsi="Times New Roman" w:cs="Times New Roman"/>
          <w:sz w:val="28"/>
        </w:rPr>
        <w:t>адежные и гибкие распределительные сети</w:t>
      </w:r>
      <w:r w:rsidRPr="0001126F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C306FF" w:rsidRDefault="00C306FF" w:rsidP="00C306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 w:rsidRPr="0001126F">
        <w:rPr>
          <w:rFonts w:ascii="Times New Roman" w:hAnsi="Times New Roman"/>
          <w:sz w:val="28"/>
        </w:rPr>
        <w:t>п</w:t>
      </w:r>
      <w:r w:rsidRPr="008F3975">
        <w:rPr>
          <w:rFonts w:ascii="Times New Roman" w:hAnsi="Times New Roman" w:cs="Times New Roman"/>
          <w:sz w:val="28"/>
        </w:rPr>
        <w:t>отребительские сервисы. Изменения договорных и финансовых схем энергоснабжения</w:t>
      </w:r>
      <w:r>
        <w:rPr>
          <w:rFonts w:ascii="Times New Roman" w:hAnsi="Times New Roman"/>
          <w:b/>
          <w:sz w:val="28"/>
        </w:rPr>
        <w:t>;</w:t>
      </w:r>
    </w:p>
    <w:p w:rsidR="00C306FF" w:rsidRDefault="00C306FF" w:rsidP="00C306FF">
      <w:pPr>
        <w:pStyle w:val="3"/>
        <w:shd w:val="clear" w:color="auto" w:fill="FFFFFF"/>
        <w:spacing w:before="0"/>
        <w:ind w:firstLine="709"/>
        <w:textAlignment w:val="baseline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t>- с</w:t>
      </w:r>
      <w:r w:rsidRPr="008F3975">
        <w:rPr>
          <w:rFonts w:ascii="Times New Roman" w:hAnsi="Times New Roman"/>
          <w:b w:val="0"/>
          <w:color w:val="auto"/>
          <w:sz w:val="28"/>
        </w:rPr>
        <w:t>оздание «цифровых двойников» энергетических систем</w:t>
      </w:r>
      <w:r>
        <w:rPr>
          <w:rFonts w:ascii="Times New Roman" w:hAnsi="Times New Roman"/>
          <w:b w:val="0"/>
          <w:color w:val="auto"/>
          <w:sz w:val="28"/>
        </w:rPr>
        <w:t>.</w:t>
      </w:r>
    </w:p>
    <w:p w:rsidR="00C306FF" w:rsidRPr="00CC1AE9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C1AE9">
        <w:rPr>
          <w:rFonts w:ascii="Times New Roman" w:hAnsi="Times New Roman" w:cs="Times New Roman"/>
          <w:b/>
          <w:iCs/>
          <w:sz w:val="28"/>
          <w:szCs w:val="28"/>
        </w:rPr>
        <w:t>1.4. Требования к уровню подготовки поступающего на обучение, необходим</w:t>
      </w:r>
      <w:r>
        <w:rPr>
          <w:rFonts w:ascii="Times New Roman" w:hAnsi="Times New Roman" w:cs="Times New Roman"/>
          <w:b/>
          <w:iCs/>
          <w:sz w:val="28"/>
          <w:szCs w:val="28"/>
        </w:rPr>
        <w:t>ые</w:t>
      </w:r>
      <w:r w:rsidRPr="00CC1AE9">
        <w:rPr>
          <w:rFonts w:ascii="Times New Roman" w:hAnsi="Times New Roman" w:cs="Times New Roman"/>
          <w:b/>
          <w:iCs/>
          <w:sz w:val="28"/>
          <w:szCs w:val="28"/>
        </w:rPr>
        <w:t xml:space="preserve"> для освоения программы</w:t>
      </w:r>
    </w:p>
    <w:p w:rsidR="00C306FF" w:rsidRPr="001A129C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>Лица, желающие освоить дополнительную профессиональную программу, должны иметь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среднее профессио</w:t>
      </w:r>
      <w:r>
        <w:rPr>
          <w:rFonts w:ascii="Times New Roman" w:hAnsi="Times New Roman" w:cs="Times New Roman"/>
          <w:iCs/>
          <w:sz w:val="28"/>
          <w:szCs w:val="28"/>
        </w:rPr>
        <w:t xml:space="preserve">нальное или высшее непрофильное </w:t>
      </w:r>
      <w:r w:rsidRPr="001A129C">
        <w:rPr>
          <w:rFonts w:ascii="Times New Roman" w:hAnsi="Times New Roman" w:cs="Times New Roman"/>
          <w:iCs/>
          <w:sz w:val="28"/>
          <w:szCs w:val="28"/>
        </w:rPr>
        <w:t>образование.</w:t>
      </w:r>
    </w:p>
    <w:p w:rsidR="00C306FF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>Наличие указанного образования должно подтверждаться документом государственного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или установленного образца.</w:t>
      </w:r>
    </w:p>
    <w:p w:rsidR="00C306FF" w:rsidRPr="00463D70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3D70">
        <w:rPr>
          <w:rFonts w:ascii="Times New Roman" w:hAnsi="Times New Roman" w:cs="Times New Roman"/>
          <w:b/>
          <w:iCs/>
          <w:sz w:val="28"/>
          <w:szCs w:val="28"/>
        </w:rPr>
        <w:t>1.5. Трудоемкость обучения</w:t>
      </w:r>
    </w:p>
    <w:p w:rsidR="00C306FF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Нормативная трудоемкость </w:t>
      </w:r>
      <w:proofErr w:type="gramStart"/>
      <w:r w:rsidRPr="001A129C">
        <w:rPr>
          <w:rFonts w:ascii="Times New Roman" w:hAnsi="Times New Roman" w:cs="Times New Roman"/>
          <w:iCs/>
          <w:sz w:val="28"/>
          <w:szCs w:val="28"/>
        </w:rPr>
        <w:t>об</w:t>
      </w:r>
      <w:r>
        <w:rPr>
          <w:rFonts w:ascii="Times New Roman" w:hAnsi="Times New Roman" w:cs="Times New Roman"/>
          <w:iCs/>
          <w:sz w:val="28"/>
          <w:szCs w:val="28"/>
        </w:rPr>
        <w:t>учения по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данной программе – 250</w:t>
      </w:r>
      <w:r w:rsidRPr="001A129C">
        <w:rPr>
          <w:rFonts w:ascii="Times New Roman" w:hAnsi="Times New Roman" w:cs="Times New Roman"/>
          <w:i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iCs/>
          <w:sz w:val="28"/>
          <w:szCs w:val="28"/>
        </w:rPr>
        <w:t>ов</w:t>
      </w:r>
      <w:r w:rsidRPr="001A129C">
        <w:rPr>
          <w:rFonts w:ascii="Times New Roman" w:hAnsi="Times New Roman" w:cs="Times New Roman"/>
          <w:iCs/>
          <w:sz w:val="28"/>
          <w:szCs w:val="28"/>
        </w:rPr>
        <w:t>, включая все виды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аудиторной и внеаудиторной (самостоятельной) учебной работы слушателя.</w:t>
      </w:r>
    </w:p>
    <w:p w:rsidR="00C306FF" w:rsidRPr="004042C2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042C2">
        <w:rPr>
          <w:rFonts w:ascii="Times New Roman" w:hAnsi="Times New Roman" w:cs="Times New Roman"/>
          <w:b/>
          <w:iCs/>
          <w:sz w:val="28"/>
          <w:szCs w:val="28"/>
        </w:rPr>
        <w:t>1.6. Форма обучения</w:t>
      </w:r>
    </w:p>
    <w:p w:rsidR="00C306FF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091DA9">
        <w:rPr>
          <w:rFonts w:ascii="Times New Roman" w:hAnsi="Times New Roman" w:cs="Times New Roman"/>
          <w:iCs/>
          <w:sz w:val="28"/>
          <w:szCs w:val="28"/>
        </w:rPr>
        <w:t xml:space="preserve"> с частичным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отрывом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от работы, 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использованием дистанционных образовательных технологий.</w:t>
      </w:r>
    </w:p>
    <w:p w:rsidR="00C306FF" w:rsidRPr="004042C2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91DA9">
        <w:rPr>
          <w:rFonts w:ascii="Times New Roman" w:hAnsi="Times New Roman" w:cs="Times New Roman"/>
          <w:b/>
          <w:iCs/>
          <w:sz w:val="28"/>
          <w:szCs w:val="28"/>
        </w:rPr>
        <w:t>1.7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091DA9">
        <w:rPr>
          <w:rFonts w:ascii="Times New Roman" w:hAnsi="Times New Roman" w:cs="Times New Roman"/>
          <w:b/>
          <w:iCs/>
          <w:sz w:val="28"/>
          <w:szCs w:val="28"/>
        </w:rPr>
        <w:t xml:space="preserve"> Режим занятий</w:t>
      </w:r>
    </w:p>
    <w:p w:rsidR="00C306FF" w:rsidRDefault="00C306FF" w:rsidP="00C30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1DA9">
        <w:rPr>
          <w:rFonts w:ascii="Times New Roman" w:hAnsi="Times New Roman" w:cs="Times New Roman"/>
          <w:bCs/>
          <w:iCs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данной </w:t>
      </w:r>
      <w:r w:rsidRPr="00091DA9">
        <w:rPr>
          <w:rFonts w:ascii="Times New Roman" w:hAnsi="Times New Roman" w:cs="Times New Roman"/>
          <w:bCs/>
          <w:iCs/>
          <w:sz w:val="28"/>
          <w:szCs w:val="28"/>
        </w:rPr>
        <w:t>форме обучения учебная нагрузка устанавливается не более 54 часов в неделю,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91DA9">
        <w:rPr>
          <w:rFonts w:ascii="Times New Roman" w:hAnsi="Times New Roman" w:cs="Times New Roman"/>
          <w:bCs/>
          <w:iCs/>
          <w:sz w:val="28"/>
          <w:szCs w:val="28"/>
        </w:rPr>
        <w:t>включая все виды аудиторной и внеаудиторной (самостоятельной) учебной работы слушателя.</w:t>
      </w:r>
    </w:p>
    <w:p w:rsidR="00C306FF" w:rsidRPr="00E5208E" w:rsidRDefault="00C306FF" w:rsidP="00C306F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Pr="00E5208E">
        <w:rPr>
          <w:rFonts w:ascii="Times New Roman" w:hAnsi="Times New Roman" w:cs="Times New Roman"/>
          <w:b/>
          <w:iCs/>
          <w:sz w:val="28"/>
          <w:szCs w:val="28"/>
        </w:rPr>
        <w:t>СОДЕРЖАНИЕ ПРОГРАММЫ</w:t>
      </w:r>
    </w:p>
    <w:p w:rsidR="00C306FF" w:rsidRDefault="00C306FF" w:rsidP="00C30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D176C">
        <w:rPr>
          <w:rFonts w:ascii="Times New Roman" w:hAnsi="Times New Roman" w:cs="Times New Roman"/>
          <w:b/>
          <w:iCs/>
          <w:sz w:val="28"/>
          <w:szCs w:val="28"/>
        </w:rPr>
        <w:t>2.1. Учебный план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2694"/>
        <w:gridCol w:w="986"/>
        <w:gridCol w:w="1168"/>
        <w:gridCol w:w="1384"/>
        <w:gridCol w:w="1701"/>
        <w:gridCol w:w="1224"/>
      </w:tblGrid>
      <w:tr w:rsidR="00C306FF" w:rsidTr="00C7767F">
        <w:trPr>
          <w:trHeight w:val="307"/>
        </w:trPr>
        <w:tc>
          <w:tcPr>
            <w:tcW w:w="539" w:type="dxa"/>
            <w:vMerge w:val="restart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разделов и дисциплины</w:t>
            </w:r>
          </w:p>
        </w:tc>
        <w:tc>
          <w:tcPr>
            <w:tcW w:w="986" w:type="dxa"/>
            <w:vMerge w:val="restart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 часов</w:t>
            </w:r>
          </w:p>
        </w:tc>
        <w:tc>
          <w:tcPr>
            <w:tcW w:w="4253" w:type="dxa"/>
            <w:gridSpan w:val="3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224" w:type="dxa"/>
            <w:vMerge w:val="restart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Формы контроля</w:t>
            </w:r>
          </w:p>
        </w:tc>
      </w:tr>
      <w:tr w:rsidR="00C306FF" w:rsidTr="00C7767F">
        <w:trPr>
          <w:trHeight w:val="306"/>
        </w:trPr>
        <w:tc>
          <w:tcPr>
            <w:tcW w:w="539" w:type="dxa"/>
            <w:vMerge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vMerge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86" w:type="dxa"/>
            <w:vMerge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68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Лекции</w:t>
            </w:r>
          </w:p>
        </w:tc>
        <w:tc>
          <w:tcPr>
            <w:tcW w:w="1384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Лабораторные занятия</w:t>
            </w:r>
          </w:p>
        </w:tc>
        <w:tc>
          <w:tcPr>
            <w:tcW w:w="1701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Практические занятия</w:t>
            </w:r>
          </w:p>
        </w:tc>
        <w:tc>
          <w:tcPr>
            <w:tcW w:w="1224" w:type="dxa"/>
            <w:vMerge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306FF" w:rsidTr="00C7767F">
        <w:trPr>
          <w:trHeight w:val="306"/>
        </w:trPr>
        <w:tc>
          <w:tcPr>
            <w:tcW w:w="539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94" w:type="dxa"/>
          </w:tcPr>
          <w:p w:rsidR="00C306FF" w:rsidRPr="00C4414B" w:rsidRDefault="00C306FF" w:rsidP="00C7767F">
            <w:pPr>
              <w:pStyle w:val="Default"/>
              <w:rPr>
                <w:sz w:val="23"/>
                <w:szCs w:val="23"/>
              </w:rPr>
            </w:pPr>
            <w:r w:rsidRPr="009D460D">
              <w:rPr>
                <w:sz w:val="22"/>
              </w:rPr>
              <w:t xml:space="preserve">Автоматизированная </w:t>
            </w:r>
            <w:proofErr w:type="spellStart"/>
            <w:r w:rsidRPr="009D460D">
              <w:rPr>
                <w:sz w:val="22"/>
              </w:rPr>
              <w:t>геоинформационная</w:t>
            </w:r>
            <w:proofErr w:type="spellEnd"/>
            <w:r w:rsidRPr="009D460D">
              <w:rPr>
                <w:sz w:val="22"/>
              </w:rPr>
              <w:t xml:space="preserve"> система тепловых сетей, как основа для принятия организационно-технических управленческих решений</w:t>
            </w:r>
          </w:p>
        </w:tc>
        <w:tc>
          <w:tcPr>
            <w:tcW w:w="986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1168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1384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1224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C306FF" w:rsidTr="00C7767F">
        <w:trPr>
          <w:trHeight w:val="306"/>
        </w:trPr>
        <w:tc>
          <w:tcPr>
            <w:tcW w:w="539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2694" w:type="dxa"/>
          </w:tcPr>
          <w:p w:rsidR="00C306FF" w:rsidRDefault="00C306FF" w:rsidP="00C7767F">
            <w:pPr>
              <w:pStyle w:val="Default"/>
            </w:pPr>
            <w:r w:rsidRPr="009D460D">
              <w:rPr>
                <w:sz w:val="22"/>
              </w:rPr>
              <w:t>Конструкторские расчеты тепловых сетей. Анализ надежности тепловых сетей, автоматизация составления планов ППР</w:t>
            </w:r>
          </w:p>
        </w:tc>
        <w:tc>
          <w:tcPr>
            <w:tcW w:w="986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1168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1384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1224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C306FF" w:rsidTr="00C7767F">
        <w:trPr>
          <w:trHeight w:val="306"/>
        </w:trPr>
        <w:tc>
          <w:tcPr>
            <w:tcW w:w="539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2694" w:type="dxa"/>
          </w:tcPr>
          <w:p w:rsidR="00C306FF" w:rsidRPr="00C4414B" w:rsidRDefault="00C306FF" w:rsidP="00C7767F">
            <w:pPr>
              <w:pStyle w:val="Default"/>
              <w:rPr>
                <w:sz w:val="23"/>
                <w:szCs w:val="23"/>
              </w:rPr>
            </w:pPr>
            <w:r w:rsidRPr="009D460D">
              <w:rPr>
                <w:sz w:val="22"/>
              </w:rPr>
              <w:t>Автоматизированные расчеты технологического подключения потребителей к тепловым сетям. Инвентаризация и учет тепловых сетей, параметров работы, в целях формирования технических характеристик при разработке производственных программ</w:t>
            </w:r>
          </w:p>
        </w:tc>
        <w:tc>
          <w:tcPr>
            <w:tcW w:w="986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1168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1384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</w:t>
            </w:r>
          </w:p>
        </w:tc>
        <w:tc>
          <w:tcPr>
            <w:tcW w:w="1224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C306FF" w:rsidTr="00C7767F">
        <w:trPr>
          <w:trHeight w:val="306"/>
        </w:trPr>
        <w:tc>
          <w:tcPr>
            <w:tcW w:w="539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2694" w:type="dxa"/>
          </w:tcPr>
          <w:p w:rsidR="00C306FF" w:rsidRPr="00C4414B" w:rsidRDefault="00C306FF" w:rsidP="00C7767F">
            <w:pPr>
              <w:pStyle w:val="Default"/>
              <w:rPr>
                <w:sz w:val="23"/>
                <w:szCs w:val="23"/>
              </w:rPr>
            </w:pPr>
            <w:r w:rsidRPr="009D460D">
              <w:rPr>
                <w:sz w:val="22"/>
              </w:rPr>
              <w:t>Автоматизированные наладочные, поверочные, тепловые расчеты тепловых сетей. Выбор оптимального оборудования, диаметра тепловых сетей, дросселирующих и смесительных устройств у потребителей</w:t>
            </w:r>
          </w:p>
        </w:tc>
        <w:tc>
          <w:tcPr>
            <w:tcW w:w="986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1168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1384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1224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C306FF" w:rsidTr="00C7767F">
        <w:trPr>
          <w:trHeight w:val="838"/>
        </w:trPr>
        <w:tc>
          <w:tcPr>
            <w:tcW w:w="539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2694" w:type="dxa"/>
          </w:tcPr>
          <w:p w:rsidR="00C306FF" w:rsidRPr="00C4414B" w:rsidRDefault="00C306FF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Итоговый междисциплинарный экзамен</w:t>
            </w:r>
          </w:p>
        </w:tc>
        <w:tc>
          <w:tcPr>
            <w:tcW w:w="986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168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224" w:type="dxa"/>
          </w:tcPr>
          <w:p w:rsidR="00C306FF" w:rsidRDefault="00C306FF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C306FF" w:rsidTr="00C7767F">
        <w:trPr>
          <w:trHeight w:val="78"/>
        </w:trPr>
        <w:tc>
          <w:tcPr>
            <w:tcW w:w="539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 ЧАСОВ</w:t>
            </w:r>
          </w:p>
        </w:tc>
        <w:tc>
          <w:tcPr>
            <w:tcW w:w="986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</w:tc>
        <w:tc>
          <w:tcPr>
            <w:tcW w:w="1168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</w:t>
            </w:r>
          </w:p>
        </w:tc>
        <w:tc>
          <w:tcPr>
            <w:tcW w:w="1384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1224" w:type="dxa"/>
          </w:tcPr>
          <w:p w:rsidR="00C306FF" w:rsidRDefault="00C306FF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566337" w:rsidRDefault="00566337" w:rsidP="00C306FF"/>
    <w:sectPr w:rsidR="00566337" w:rsidSect="00C306FF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7"/>
  <w:displayHorizontalDrawingGridEvery w:val="2"/>
  <w:characterSpacingControl w:val="doNotCompress"/>
  <w:compat/>
  <w:rsids>
    <w:rsidRoot w:val="00C306FF"/>
    <w:rsid w:val="00566337"/>
    <w:rsid w:val="00C306FF"/>
    <w:rsid w:val="00C76D23"/>
    <w:rsid w:val="00D0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pacing w:val="-6"/>
        <w:sz w:val="22"/>
        <w:szCs w:val="22"/>
        <w:lang w:val="ru-RU" w:eastAsia="en-US" w:bidi="ar-SA"/>
      </w:rPr>
    </w:rPrDefault>
    <w:pPrDefault>
      <w:pPr>
        <w:spacing w:line="315" w:lineRule="exact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FF"/>
    <w:pPr>
      <w:spacing w:after="200" w:line="276" w:lineRule="auto"/>
      <w:ind w:firstLine="0"/>
    </w:pPr>
    <w:rPr>
      <w:rFonts w:asciiTheme="minorHAnsi" w:eastAsiaTheme="minorEastAsia" w:hAnsiTheme="minorHAnsi" w:cstheme="minorBidi"/>
      <w:snapToGrid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6F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6F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6FF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FF"/>
    <w:rPr>
      <w:rFonts w:ascii="Cambria" w:eastAsia="Times New Roman" w:hAnsi="Cambria"/>
      <w:b/>
      <w:bCs/>
      <w:snapToGrid/>
      <w:color w:val="365F91"/>
      <w:spacing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06FF"/>
    <w:rPr>
      <w:rFonts w:ascii="Cambria" w:eastAsia="Times New Roman" w:hAnsi="Cambria"/>
      <w:b/>
      <w:bCs/>
      <w:snapToGrid/>
      <w:color w:val="4F81BD"/>
      <w:spacing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6FF"/>
    <w:rPr>
      <w:rFonts w:ascii="Cambria" w:eastAsia="Times New Roman" w:hAnsi="Cambria"/>
      <w:b/>
      <w:bCs/>
      <w:i/>
      <w:iCs/>
      <w:snapToGrid/>
      <w:color w:val="4F81BD"/>
      <w:spacing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C306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306FF"/>
    <w:rPr>
      <w:rFonts w:eastAsia="Times New Roman"/>
      <w:snapToGrid/>
      <w:spacing w:val="0"/>
      <w:sz w:val="28"/>
      <w:szCs w:val="24"/>
      <w:lang w:eastAsia="ru-RU"/>
    </w:rPr>
  </w:style>
  <w:style w:type="paragraph" w:customStyle="1" w:styleId="Default">
    <w:name w:val="Default"/>
    <w:rsid w:val="00C306FF"/>
    <w:pPr>
      <w:autoSpaceDE w:val="0"/>
      <w:autoSpaceDN w:val="0"/>
      <w:adjustRightInd w:val="0"/>
      <w:spacing w:line="240" w:lineRule="auto"/>
      <w:ind w:firstLine="0"/>
    </w:pPr>
    <w:rPr>
      <w:snapToGrid/>
      <w:color w:val="000000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davletshina.ekh</dc:creator>
  <cp:lastModifiedBy>davletshina.ekh</cp:lastModifiedBy>
  <cp:revision>1</cp:revision>
  <dcterms:created xsi:type="dcterms:W3CDTF">2019-08-08T09:19:00Z</dcterms:created>
  <dcterms:modified xsi:type="dcterms:W3CDTF">2019-08-08T09:19:00Z</dcterms:modified>
</cp:coreProperties>
</file>