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A1D4D" wp14:paraId="5CCB7019" wp14:textId="147392EC">
      <w:pPr>
        <w:spacing w:before="0" w:beforeAutospacing="off" w:after="28" w:afterAutospacing="off" w:line="233" w:lineRule="auto"/>
        <w:jc w:val="both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УДК 004/379</w:t>
      </w:r>
    </w:p>
    <w:p xmlns:wp14="http://schemas.microsoft.com/office/word/2010/wordml" w:rsidP="6F9A1D4D" wp14:paraId="7590A521" wp14:textId="6F09892F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5A723C0F" wp14:textId="556F6351">
      <w:pPr>
        <w:spacing w:before="0" w:beforeAutospacing="off" w:after="13" w:afterAutospacing="off" w:line="247" w:lineRule="auto"/>
        <w:ind w:left="10" w:hanging="10"/>
        <w:jc w:val="left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ИНТЕГРАЦИЯ ЦИФРОВЫХ ТЕХНОЛОГИЙ В СОХРАНЕНИЕ И ВОССТАНОВЛЕНИЕ КУЛЬТУРНОГО НАСЛЕДИЯ </w:t>
      </w:r>
    </w:p>
    <w:p xmlns:wp14="http://schemas.microsoft.com/office/word/2010/wordml" w:rsidP="6F9A1D4D" wp14:paraId="450C9D38" wp14:textId="27B74186">
      <w:pPr>
        <w:spacing w:before="0" w:beforeAutospacing="off" w:after="13" w:afterAutospacing="off" w:line="247" w:lineRule="auto"/>
        <w:ind w:left="10" w:hanging="10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А. П. Башкирова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</w:p>
    <w:p xmlns:wp14="http://schemas.microsoft.com/office/word/2010/wordml" w:rsidP="6F9A1D4D" wp14:paraId="6FB76A49" wp14:textId="61F8C797">
      <w:pPr>
        <w:spacing w:before="0" w:beforeAutospacing="off" w:after="5" w:afterAutospacing="off" w:line="233" w:lineRule="auto"/>
        <w:ind w:left="2343" w:hanging="2343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студент факультета информатики и экономики, Казанский государственный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энергетический университет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г. Казань,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annabasch@icloud.com</w:t>
      </w:r>
    </w:p>
    <w:p xmlns:wp14="http://schemas.microsoft.com/office/word/2010/wordml" w:rsidP="6F9A1D4D" wp14:paraId="6D32E363" wp14:textId="51FF83C3">
      <w:pPr>
        <w:spacing w:before="0" w:beforeAutospacing="off" w:after="13" w:afterAutospacing="off" w:line="247" w:lineRule="auto"/>
        <w:ind w:left="591" w:hanging="59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Научный руководитель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Р. И.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Эшелиоглу</w:t>
      </w:r>
    </w:p>
    <w:p xmlns:wp14="http://schemas.microsoft.com/office/word/2010/wordml" w:rsidP="6F9A1D4D" wp14:paraId="4AB8A442" wp14:textId="446730EA">
      <w:pPr>
        <w:pStyle w:val="Normal"/>
        <w:spacing w:before="0" w:beforeAutospacing="off" w:after="0" w:afterAutospacing="off" w:line="257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старший преподаватель, Казанский государственный энергетический университет, г. Казань,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ralyarose@yandex.ru</w:t>
      </w:r>
    </w:p>
    <w:p xmlns:wp14="http://schemas.microsoft.com/office/word/2010/wordml" w:rsidP="6F9A1D4D" wp14:paraId="678B2BCC" wp14:textId="54E63583">
      <w:pPr>
        <w:pStyle w:val="Normal"/>
        <w:spacing w:before="0" w:beforeAutospacing="off" w:after="5" w:afterAutospacing="off" w:line="233" w:lineRule="auto"/>
        <w:ind w:firstLine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F9A1D4D" wp14:paraId="619907E5" wp14:textId="18945771">
      <w:pPr>
        <w:spacing w:before="0" w:beforeAutospacing="off" w:after="28" w:afterAutospacing="off" w:line="233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Аннотация.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Цифровые технологии стали ключевым элементом сохранения и восстановления культурного наследия. В этой статье рассматриваются различные аспекты интеграции цифровых технологий в усилия по сохранению и восстановлению культурного наследия. Обсуждаются методы создания цифровых архивов, виртуальных музеев, а также роль виртуальной и дополненной реальности в популяризации и сохранении культурных памятников. Также рассматривается этика и социокультурные аспекты использования цифровых технологий в данном контексте.</w:t>
      </w:r>
    </w:p>
    <w:p xmlns:wp14="http://schemas.microsoft.com/office/word/2010/wordml" w:rsidP="6F9A1D4D" wp14:paraId="475AC175" wp14:textId="5C5EE830">
      <w:pPr>
        <w:spacing w:before="0" w:beforeAutospacing="off" w:after="28" w:afterAutospacing="off" w:line="233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Ключевые слова.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Цифровые технологии, сохранение культурного наследия, виртуальная реальность, этика, культура.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038297DF" wp14:textId="40D402CC">
      <w:pPr>
        <w:spacing w:before="0" w:beforeAutospacing="off" w:after="0" w:afterAutospacing="off" w:line="257" w:lineRule="auto"/>
        <w:jc w:val="left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38858966" wp14:textId="565FA879">
      <w:pPr>
        <w:pStyle w:val="Normal"/>
        <w:spacing w:before="0" w:beforeAutospacing="off" w:after="13" w:afterAutospacing="off" w:line="247" w:lineRule="auto"/>
        <w:ind w:left="10" w:hanging="10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INTEGRATION OF DIGITAL TECHNOLOGIES IN THE PRESERVATION AND RESTORATION OF CULTURAL HERITAGE</w:t>
      </w:r>
      <w:r>
        <w:br/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A. P.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Bashkirova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,</w:t>
      </w:r>
      <w:r>
        <w:br/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student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Faculty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Informatics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Economics,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State Power Engineering University,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e-mail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 annabasch@icloud.com</w:t>
      </w:r>
    </w:p>
    <w:p xmlns:wp14="http://schemas.microsoft.com/office/word/2010/wordml" w:rsidP="6F9A1D4D" wp14:paraId="6802C5C7" wp14:textId="30F34F64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5569C3C9" wp14:textId="015D54CD">
      <w:pPr>
        <w:spacing w:before="0" w:beforeAutospacing="off" w:after="13" w:afterAutospacing="off" w:line="247" w:lineRule="auto"/>
        <w:ind w:left="0" w:hanging="0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Academic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supervisor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R. I. Eshelioglu</w:t>
      </w:r>
      <w:r>
        <w:br/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senior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lecturer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State Power Engineering University,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Kazan,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e-mail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: ralyarose@yandex.ru </w:t>
      </w:r>
    </w:p>
    <w:p xmlns:wp14="http://schemas.microsoft.com/office/word/2010/wordml" w:rsidP="6F9A1D4D" wp14:paraId="50DFC523" wp14:textId="756179B4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4D1D292F" wp14:textId="174FCD71">
      <w:pPr>
        <w:spacing w:before="0" w:beforeAutospacing="off" w:after="3" w:afterAutospacing="off" w:line="247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Abstract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Digital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technologies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have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become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a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key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element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preservation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restoration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cultural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heritage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This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article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examines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various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aspects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integrating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digital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technologies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into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cultural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heritage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preservation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restoration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efforts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Methods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for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creating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digital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archives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virtual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museums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well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role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virtual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augmented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reality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popularization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preservation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cultural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monuments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discussed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The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ethics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and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sociocultural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aspects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use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digital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technologies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this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context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are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also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considered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6E7B8BAD" wp14:textId="5126C93E">
      <w:pPr>
        <w:spacing w:before="0" w:beforeAutospacing="off" w:after="3" w:afterAutospacing="off" w:line="247" w:lineRule="auto"/>
        <w:jc w:val="left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Kew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words</w:t>
      </w: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Digital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technologies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preservation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of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cultural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heritage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virtual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reality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ethics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culture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4EB34E12" wp14:textId="648D1A51">
      <w:pPr>
        <w:spacing w:before="0" w:beforeAutospacing="off" w:after="0" w:afterAutospacing="off" w:line="257" w:lineRule="auto"/>
        <w:jc w:val="left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66650F8E" wp14:textId="0E45F717">
      <w:pPr>
        <w:spacing w:before="0" w:beforeAutospacing="off" w:after="4" w:afterAutospacing="off" w:line="233" w:lineRule="auto"/>
        <w:ind w:firstLine="699"/>
        <w:jc w:val="both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Сохранение и восстановление культурного наследия имеет огромное значение для сохранения и передачи культурных ценностей будущим поколениям. В последние десятилетия цифровые технологии стали незаменимым инструментом в этой области. Они позволяют создавать цифровые архивы, реконструировать и восстанавливать объекты искусства, а также создавать виртуальные музеи и выставки, доступные для широкой аудитории. Цифровые технологии включают в себя множество инструментов и методов, которые могут быть применены в сфере сохранения культурного наследия. Некоторые из них включают в себя:</w:t>
      </w:r>
    </w:p>
    <w:p xmlns:wp14="http://schemas.microsoft.com/office/word/2010/wordml" w:rsidP="6F9A1D4D" wp14:paraId="4F9BDF76" wp14:textId="20719604">
      <w:pPr>
        <w:pStyle w:val="Normal"/>
        <w:spacing w:before="0" w:beforeAutospacing="off" w:after="4" w:afterAutospacing="off" w:line="233" w:lineRule="auto"/>
        <w:ind w:firstLine="69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1. Создание цифровых архивов культурного наследия. Цифровые архивы представляют собой современные хранилища информации о культурных объектах. Они включают в себя цифровые копии картин, фотографий, археологических находок и других культурных артефактов. Эти архивы не только сохраняют исходные объекты, но и обеспечивают доступ к ним для исследователей и общественности [1]. Примерами таких архивов являются Европейская цифровая библиотека- обширным цифровым архивом, содержащим миллионы цифровых объектов из библиотек, архивов и музеев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Европы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0815C9B0" wp14:textId="39FCF0F9">
      <w:pPr>
        <w:pStyle w:val="Normal"/>
        <w:spacing w:before="0" w:beforeAutospacing="off" w:after="4" w:afterAutospacing="off" w:line="233" w:lineRule="auto"/>
        <w:ind w:firstLine="699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2. Виртуальные музеи и выставки. Виртуальные музеи и выставки представляют собой онлайн-платформы, на которых посетители могут исследовать и наслаждаться искусством, историей, культурой и другими видами выставочных объектов и экспонатов, не покидая своего дома. Виртуальные музеи могут охватывать широкий спектр тематик, включая искусство, историю, науку, технологию, природу и многое другое. Это позволяет каждому найти что-то, что соответствует его интересам. Некоторые виртуальные музеи позволяют посетителям взаимодействовать друг с другом через комментарии, обсуждения и обмен впечатлениями, а также могут быть представлены на разных языках, что делает их более доступными для людей разных культур и национальностей [2].  Такие музеи популяризируют культурное наследие и делают его доступным для широкой аудитории. Примером такого проекта является виртуальный музей «The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Louvre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»‎. </w:t>
      </w:r>
    </w:p>
    <w:p xmlns:wp14="http://schemas.microsoft.com/office/word/2010/wordml" w:rsidP="6F9A1D4D" wp14:paraId="430C029F" wp14:textId="1FA0E595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352E709F" w:rsidR="352E7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3. Виртуальная и дополненная реальности. Виртуальная и дополненная реальность предоставляют уникальные возможности для восстановления и визуализации культурных памятников и исторических событий [3]. С их помощью можно создавать виртуальные туры по историческим местам и позволять посетителям видеть, как эти места выглядели в прошлом. Примером такого применения является проект "</w:t>
      </w:r>
      <w:r w:rsidRPr="352E709F" w:rsidR="352E7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Rome</w:t>
      </w:r>
      <w:r w:rsidRPr="352E709F" w:rsidR="352E7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52E709F" w:rsidR="352E7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Reborn</w:t>
      </w:r>
      <w:r w:rsidRPr="352E709F" w:rsidR="352E7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", который позволяет виртуально путешествовать во времени и пространстве по древнему Риму. Компьютерное моделирование и 3D-сканирование также являются эффективными инструментами, позволяющими воссоздавать утраченные объекты с высокой точностью. Базы данных и цифровые архивы позволяют хранить и организовывать информацию о культурном наследии, делая ее доступной для широкого круга пользователей.</w:t>
      </w:r>
    </w:p>
    <w:p xmlns:wp14="http://schemas.microsoft.com/office/word/2010/wordml" w:rsidP="6F9A1D4D" wp14:paraId="7891E50C" wp14:textId="1A30E178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4. Этика и социокультурные аспекты. Использование цифровых технологий в сохранении культурного наследия также вызывает вопросы этики и социокультурного 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воздействия [4</w:t>
      </w: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]. Например, какие правила следует соблюдать при цифровой реконструкции культурных объектов, чтобы сохранить их аутентичность? Как цифровые технологии влияют на способность людей воспринимать и понимать культурное наследие? </w:t>
      </w:r>
    </w:p>
    <w:p xmlns:wp14="http://schemas.microsoft.com/office/word/2010/wordml" w:rsidP="6F9A1D4D" wp14:paraId="08983701" wp14:textId="1AD487F8">
      <w:pPr>
        <w:pStyle w:val="Normal"/>
        <w:spacing w:before="0" w:beforeAutospacing="off" w:after="4" w:afterAutospacing="off" w:line="233" w:lineRule="auto"/>
        <w:ind w:firstLine="699"/>
        <w:jc w:val="both"/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Интеграция цифровых технологий в сохранение и восстановление культурного наследия представляет собой мощное средство для сохранения и популяризации культурных ценностей. Она расширяет доступ к культурному наследию и позволяет более глубоко изучать и понимать историю и культуру различных обществ. Однако при этом необходимо учитывать этические и социокультурные аспекты использования цифровых технологий в этой области, чтобы сохранить аутентичность и ценность культурного наследия.  </w:t>
      </w:r>
    </w:p>
    <w:p xmlns:wp14="http://schemas.microsoft.com/office/word/2010/wordml" w:rsidP="6F9A1D4D" wp14:paraId="525EC343" wp14:textId="7B8536DF">
      <w:pPr>
        <w:spacing w:before="0" w:beforeAutospacing="off" w:after="0" w:afterAutospacing="off" w:line="257" w:lineRule="auto"/>
        <w:jc w:val="center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F9A1D4D" wp14:paraId="36E19A3F" wp14:textId="7D3659E9">
      <w:pPr>
        <w:spacing w:before="0" w:beforeAutospacing="off" w:after="4" w:afterAutospacing="off" w:line="233" w:lineRule="auto"/>
        <w:ind w:firstLine="1858"/>
        <w:jc w:val="both"/>
      </w:pPr>
      <w:r w:rsidRPr="6F9A1D4D" w:rsidR="6F9A1D4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Список использованных источников </w:t>
      </w:r>
    </w:p>
    <w:p xmlns:wp14="http://schemas.microsoft.com/office/word/2010/wordml" w:rsidP="6F9A1D4D" wp14:paraId="35515876" wp14:textId="3D76126F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Агафонова В. Москву признали одним из лидеров среди европейских столиц в сфере сохранения культурного наследия // Московское наследие. 2021. № 4. С. 14–17.</w:t>
      </w:r>
    </w:p>
    <w:p xmlns:wp14="http://schemas.microsoft.com/office/word/2010/wordml" w:rsidP="6F9A1D4D" wp14:paraId="3CE10EE9" wp14:textId="09B0F6F6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Покровская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Е.Н.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Ковальчук 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Ю.Л.</w:t>
      </w: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Биокоррозия, сохранение памятников истории и архитектуры. Москва. 2013. С. 212.</w:t>
      </w:r>
    </w:p>
    <w:p xmlns:wp14="http://schemas.microsoft.com/office/word/2010/wordml" w:rsidP="6F9A1D4D" wp14:paraId="034AC7E1" wp14:textId="7314E9C4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Шевченко А.И. Цифровизация как этап развития общества: философский взгляд // Общество: философия, история, культура. 2021. № 5. С. 40–44.</w:t>
      </w:r>
    </w:p>
    <w:p xmlns:wp14="http://schemas.microsoft.com/office/word/2010/wordml" w:rsidP="6F9A1D4D" wp14:paraId="464D2F2E" wp14:textId="272CB73D">
      <w:pPr>
        <w:pStyle w:val="ListParagraph"/>
        <w:numPr>
          <w:ilvl w:val="0"/>
          <w:numId w:val="5"/>
        </w:numPr>
        <w:spacing w:before="0" w:beforeAutospacing="off" w:after="4" w:afterAutospacing="off" w:line="233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Клебанов Л.Р. Памятники истории и культуры: правовой статус и охрана. Москва. 2015. С. 160.</w:t>
      </w:r>
    </w:p>
    <w:p xmlns:wp14="http://schemas.microsoft.com/office/word/2010/wordml" w:rsidP="6F9A1D4D" wp14:paraId="093AAE32" wp14:textId="4D1F2BD2">
      <w:pPr>
        <w:pStyle w:val="Normal"/>
        <w:spacing w:before="0" w:beforeAutospacing="off" w:after="4" w:afterAutospacing="off" w:line="233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F9A1D4D" w:rsidR="6F9A1D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</w:p>
    <w:p xmlns:wp14="http://schemas.microsoft.com/office/word/2010/wordml" w:rsidP="6F9A1D4D" wp14:paraId="501817AE" wp14:textId="60CC9F63">
      <w:pPr>
        <w:pStyle w:val="Normal"/>
      </w:pPr>
    </w:p>
    <w:p w:rsidR="6F9A1D4D" w:rsidP="6F9A1D4D" w:rsidRDefault="6F9A1D4D" w14:paraId="66C089FE" w14:textId="6B3764D5">
      <w:pPr>
        <w:pStyle w:val="Normal"/>
      </w:pPr>
    </w:p>
    <w:p w:rsidR="6F9A1D4D" w:rsidP="6F9A1D4D" w:rsidRDefault="6F9A1D4D" w14:paraId="6FB82B98" w14:textId="09A7137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4e8ea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f18ed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97a474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f553c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d65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CD4AF"/>
    <w:rsid w:val="352E709F"/>
    <w:rsid w:val="68DCD4AF"/>
    <w:rsid w:val="6F9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23C"/>
  <w15:chartTrackingRefBased/>
  <w15:docId w15:val="{7309F17A-D4B5-4E20-96BD-819B7A1558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7ddcc1534a4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2023-09-25T11:02:37.7928609Z</dcterms:created>
  <dcterms:modified xsi:type="dcterms:W3CDTF">2023-09-26T21:27:18.9054022Z</dcterms:modified>
  <dc:creator>Башкирова Анна</dc:creator>
  <lastModifiedBy>Башкирова Анна</lastModifiedBy>
</coreProperties>
</file>