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0C6E" w:rsidRPr="006453D9" w:rsidRDefault="00B82B14" w:rsidP="0066031A">
      <w:pPr>
        <w:pStyle w:val="MDPI11articletype"/>
      </w:pPr>
      <w:r w:rsidRPr="00B82B14">
        <w:rPr>
          <w:rFonts w:eastAsia="DengXian"/>
          <w:lang w:eastAsia="zh-CN"/>
        </w:rPr>
        <w:t>Proceedings</w:t>
      </w:r>
    </w:p>
    <w:p w:rsidR="00350C6E" w:rsidRPr="003B1AF1" w:rsidRDefault="003E7AFF" w:rsidP="00350C6E">
      <w:pPr>
        <w:pStyle w:val="MDPI12title"/>
      </w:pPr>
      <w:r w:rsidRPr="003E7AFF">
        <w:t>Numerical simulation of solid oxide fuel cell energy production processes</w:t>
      </w:r>
      <w:r w:rsidR="006B57F5">
        <w:t xml:space="preserve"> </w:t>
      </w:r>
      <w:r w:rsidR="006B57F5" w:rsidRPr="004F360A">
        <w:rPr>
          <w:vertAlign w:val="superscript"/>
        </w:rPr>
        <w:t>†</w:t>
      </w:r>
    </w:p>
    <w:p w:rsidR="00231385" w:rsidRPr="003E7AFF" w:rsidRDefault="003E7AFF" w:rsidP="00350C6E">
      <w:pPr>
        <w:pStyle w:val="MDPI13authornames"/>
        <w:rPr>
          <w:vertAlign w:val="superscript"/>
        </w:rPr>
      </w:pPr>
      <w:r w:rsidRPr="003E7AFF">
        <w:t>Ivan H</w:t>
      </w:r>
      <w:r>
        <w:t xml:space="preserve">. </w:t>
      </w:r>
      <w:proofErr w:type="spellStart"/>
      <w:r>
        <w:t>Beloev</w:t>
      </w:r>
      <w:proofErr w:type="spellEnd"/>
      <w:r>
        <w:t xml:space="preserve"> </w:t>
      </w:r>
      <w:r>
        <w:rPr>
          <w:vertAlign w:val="superscript"/>
        </w:rPr>
        <w:t>1</w:t>
      </w:r>
      <w:r w:rsidRPr="003E7AFF">
        <w:t>, Antonina A</w:t>
      </w:r>
      <w:r>
        <w:t>.</w:t>
      </w:r>
      <w:r w:rsidRPr="003E7AFF">
        <w:t xml:space="preserve"> </w:t>
      </w:r>
      <w:proofErr w:type="spellStart"/>
      <w:r w:rsidRPr="003E7AFF">
        <w:t>Filimonova</w:t>
      </w:r>
      <w:proofErr w:type="spellEnd"/>
      <w:r>
        <w:t xml:space="preserve"> </w:t>
      </w:r>
      <w:r>
        <w:rPr>
          <w:vertAlign w:val="superscript"/>
        </w:rPr>
        <w:t>2</w:t>
      </w:r>
      <w:r w:rsidRPr="003E7AFF">
        <w:t>, Alexander V</w:t>
      </w:r>
      <w:r>
        <w:t>.</w:t>
      </w:r>
      <w:r w:rsidRPr="003E7AFF">
        <w:t xml:space="preserve"> </w:t>
      </w:r>
      <w:proofErr w:type="spellStart"/>
      <w:r w:rsidRPr="003E7AFF">
        <w:t>Pechenkin</w:t>
      </w:r>
      <w:proofErr w:type="spellEnd"/>
      <w:r>
        <w:t xml:space="preserve"> </w:t>
      </w:r>
      <w:r>
        <w:rPr>
          <w:vertAlign w:val="superscript"/>
        </w:rPr>
        <w:t>2</w:t>
      </w:r>
      <w:r w:rsidRPr="003E7AFF">
        <w:t>, Azamat R</w:t>
      </w:r>
      <w:r>
        <w:t>.</w:t>
      </w:r>
      <w:r w:rsidRPr="003E7AFF">
        <w:t xml:space="preserve"> </w:t>
      </w:r>
      <w:proofErr w:type="spellStart"/>
      <w:r w:rsidRPr="003E7AFF">
        <w:t>Gizzatullin</w:t>
      </w:r>
      <w:proofErr w:type="spellEnd"/>
      <w:r>
        <w:t xml:space="preserve"> </w:t>
      </w:r>
      <w:r>
        <w:rPr>
          <w:vertAlign w:val="superscript"/>
        </w:rPr>
        <w:t>2</w:t>
      </w:r>
      <w:r w:rsidRPr="003E7AFF">
        <w:t>, Artem S</w:t>
      </w:r>
      <w:r>
        <w:t>.</w:t>
      </w:r>
      <w:r w:rsidRPr="003E7AFF">
        <w:t xml:space="preserve"> </w:t>
      </w:r>
      <w:proofErr w:type="spellStart"/>
      <w:r w:rsidRPr="003E7AFF">
        <w:t>Vinogradov</w:t>
      </w:r>
      <w:proofErr w:type="spellEnd"/>
      <w:r>
        <w:t xml:space="preserve"> </w:t>
      </w:r>
      <w:r>
        <w:rPr>
          <w:vertAlign w:val="superscript"/>
        </w:rPr>
        <w:t>2</w:t>
      </w:r>
      <w:r w:rsidRPr="003E7AFF">
        <w:rPr>
          <w:color w:val="000000" w:themeColor="text1"/>
        </w:rPr>
        <w:t xml:space="preserve">, </w:t>
      </w:r>
      <w:proofErr w:type="spellStart"/>
      <w:r w:rsidRPr="003E7AFF">
        <w:rPr>
          <w:color w:val="000000" w:themeColor="text1"/>
        </w:rPr>
        <w:t>Iliya</w:t>
      </w:r>
      <w:proofErr w:type="spellEnd"/>
      <w:r w:rsidRPr="003E7AFF">
        <w:rPr>
          <w:color w:val="000000" w:themeColor="text1"/>
        </w:rPr>
        <w:t xml:space="preserve"> K. </w:t>
      </w:r>
      <w:proofErr w:type="spellStart"/>
      <w:r w:rsidRPr="003E7AFF">
        <w:rPr>
          <w:color w:val="000000" w:themeColor="text1"/>
        </w:rPr>
        <w:t>Iliev</w:t>
      </w:r>
      <w:proofErr w:type="spellEnd"/>
      <w:r w:rsidRPr="003E7AFF">
        <w:rPr>
          <w:color w:val="000000" w:themeColor="text1"/>
        </w:rPr>
        <w:t xml:space="preserve"> </w:t>
      </w:r>
      <w:proofErr w:type="gramStart"/>
      <w:r w:rsidRPr="003E7AFF">
        <w:rPr>
          <w:color w:val="000000" w:themeColor="text1"/>
          <w:vertAlign w:val="superscript"/>
        </w:rPr>
        <w:t>3,*</w:t>
      </w:r>
      <w:proofErr w:type="gramEnd"/>
    </w:p>
    <w:tbl>
      <w:tblPr>
        <w:tblpPr w:leftFromText="198" w:rightFromText="198" w:vertAnchor="page" w:horzAnchor="margin" w:tblpY="11856"/>
        <w:tblW w:w="2410" w:type="dxa"/>
        <w:tblLayout w:type="fixed"/>
        <w:tblCellMar>
          <w:left w:w="0" w:type="dxa"/>
          <w:right w:w="0" w:type="dxa"/>
        </w:tblCellMar>
        <w:tblLook w:val="04A0" w:firstRow="1" w:lastRow="0" w:firstColumn="1" w:lastColumn="0" w:noHBand="0" w:noVBand="1"/>
      </w:tblPr>
      <w:tblGrid>
        <w:gridCol w:w="2410"/>
      </w:tblGrid>
      <w:tr w:rsidR="00231385" w:rsidRPr="00AD6DF9" w:rsidTr="0011332D">
        <w:tc>
          <w:tcPr>
            <w:tcW w:w="2410" w:type="dxa"/>
            <w:shd w:val="clear" w:color="auto" w:fill="auto"/>
          </w:tcPr>
          <w:p w:rsidR="00231385" w:rsidRPr="00BF15B6" w:rsidRDefault="00231385" w:rsidP="0011332D">
            <w:pPr>
              <w:pStyle w:val="MDPI61Citation"/>
              <w:spacing w:after="120" w:line="240" w:lineRule="exact"/>
            </w:pPr>
            <w:r w:rsidRPr="00DC443A">
              <w:rPr>
                <w:b/>
              </w:rPr>
              <w:t>Citation:</w:t>
            </w:r>
            <w:r>
              <w:rPr>
                <w:b/>
              </w:rPr>
              <w:t xml:space="preserve"> </w:t>
            </w:r>
            <w:r>
              <w:t>To be added by editorial staff during production.</w:t>
            </w:r>
          </w:p>
          <w:p w:rsidR="00231385" w:rsidRPr="00590998" w:rsidRDefault="00231385" w:rsidP="0011332D">
            <w:pPr>
              <w:pStyle w:val="MDPI15academiceditor"/>
              <w:spacing w:before="120" w:after="120"/>
            </w:pPr>
            <w:r w:rsidRPr="00590998">
              <w:t xml:space="preserve">Academic Editor: </w:t>
            </w:r>
            <w:proofErr w:type="spellStart"/>
            <w:r w:rsidRPr="00590998">
              <w:t>Firstname</w:t>
            </w:r>
            <w:proofErr w:type="spellEnd"/>
            <w:r w:rsidRPr="00590998">
              <w:t xml:space="preserve"> </w:t>
            </w:r>
            <w:proofErr w:type="spellStart"/>
            <w:r w:rsidRPr="00590998">
              <w:t>Lastname</w:t>
            </w:r>
            <w:proofErr w:type="spellEnd"/>
          </w:p>
          <w:p w:rsidR="00231385" w:rsidRPr="00550626" w:rsidRDefault="00231385" w:rsidP="0011332D">
            <w:pPr>
              <w:pStyle w:val="MDPI14history"/>
              <w:spacing w:before="120" w:after="120"/>
              <w:rPr>
                <w:szCs w:val="14"/>
              </w:rPr>
            </w:pPr>
            <w:r w:rsidRPr="00550626">
              <w:rPr>
                <w:szCs w:val="14"/>
              </w:rPr>
              <w:t xml:space="preserve">Published: </w:t>
            </w:r>
            <w:r w:rsidRPr="00D945EC">
              <w:rPr>
                <w:szCs w:val="14"/>
              </w:rPr>
              <w:t>date</w:t>
            </w:r>
          </w:p>
          <w:p w:rsidR="00231385" w:rsidRPr="00AD6DF9" w:rsidRDefault="00231385" w:rsidP="0011332D">
            <w:pPr>
              <w:adjustRightInd w:val="0"/>
              <w:snapToGrid w:val="0"/>
              <w:spacing w:before="240" w:line="240" w:lineRule="atLeast"/>
              <w:ind w:right="113"/>
              <w:jc w:val="left"/>
              <w:rPr>
                <w:rFonts w:eastAsia="DengXian"/>
                <w:bCs/>
                <w:sz w:val="14"/>
                <w:szCs w:val="14"/>
                <w:lang w:bidi="en-US"/>
              </w:rPr>
            </w:pPr>
            <w:r w:rsidRPr="00AD6DF9">
              <w:rPr>
                <w:rFonts w:eastAsia="DengXian"/>
              </w:rPr>
              <w:drawing>
                <wp:inline distT="0" distB="0" distL="0" distR="0" wp14:anchorId="5061608D" wp14:editId="42C1D1B2">
                  <wp:extent cx="695960" cy="252730"/>
                  <wp:effectExtent l="0" t="0" r="0" b="0"/>
                  <wp:docPr id="1"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960" cy="252730"/>
                          </a:xfrm>
                          <a:prstGeom prst="rect">
                            <a:avLst/>
                          </a:prstGeom>
                          <a:noFill/>
                          <a:ln>
                            <a:noFill/>
                          </a:ln>
                        </pic:spPr>
                      </pic:pic>
                    </a:graphicData>
                  </a:graphic>
                </wp:inline>
              </w:drawing>
            </w:r>
          </w:p>
          <w:p w:rsidR="00231385" w:rsidRPr="00AD6DF9" w:rsidRDefault="00231385" w:rsidP="00B37081">
            <w:pPr>
              <w:pStyle w:val="MDPI72Copyright"/>
              <w:rPr>
                <w:rFonts w:eastAsia="DengXian"/>
                <w:lang w:bidi="en-US"/>
              </w:rPr>
            </w:pPr>
            <w:r w:rsidRPr="00AD6DF9">
              <w:rPr>
                <w:rFonts w:eastAsia="DengXian"/>
                <w:b/>
                <w:lang w:bidi="en-US"/>
              </w:rPr>
              <w:t>Copyright:</w:t>
            </w:r>
            <w:r w:rsidRPr="00AD6DF9">
              <w:rPr>
                <w:rFonts w:eastAsia="DengXian"/>
                <w:lang w:bidi="en-US"/>
              </w:rPr>
              <w:t xml:space="preserve"> </w:t>
            </w:r>
            <w:r w:rsidR="00B37081">
              <w:rPr>
                <w:rFonts w:eastAsia="DengXian"/>
                <w:lang w:bidi="en-US"/>
              </w:rPr>
              <w:t>© 2023</w:t>
            </w:r>
            <w:r w:rsidRPr="00AD6DF9">
              <w:rPr>
                <w:rFonts w:eastAsia="DengXian"/>
                <w:lang w:bidi="en-US"/>
              </w:rPr>
              <w:t xml:space="preserve"> </w:t>
            </w:r>
            <w:r>
              <w:rPr>
                <w:rFonts w:eastAsia="DengXian"/>
                <w:lang w:bidi="en-US"/>
              </w:rPr>
              <w:t xml:space="preserve">by the authors. Submitted for possible open access publication under the terms and conditions of the Creative Commons </w:t>
            </w:r>
            <w:r w:rsidRPr="00AD6DF9">
              <w:rPr>
                <w:rFonts w:eastAsia="DengXian"/>
                <w:lang w:bidi="en-US"/>
              </w:rPr>
              <w:t>Attribution (CC BY) license (</w:t>
            </w:r>
            <w:r>
              <w:rPr>
                <w:rFonts w:eastAsia="DengXian"/>
                <w:lang w:bidi="en-US"/>
              </w:rPr>
              <w:t>https://</w:t>
            </w:r>
            <w:r w:rsidRPr="00AD6DF9">
              <w:rPr>
                <w:rFonts w:eastAsia="DengXian"/>
                <w:lang w:bidi="en-US"/>
              </w:rPr>
              <w:t>creativecommons.org/licenses/by/4.0/).</w:t>
            </w:r>
          </w:p>
        </w:tc>
      </w:tr>
    </w:tbl>
    <w:p w:rsidR="00350C6E" w:rsidRPr="0095000C" w:rsidRDefault="00BB09E6" w:rsidP="004E5D14">
      <w:pPr>
        <w:pStyle w:val="MDPI16affiliation"/>
        <w:spacing w:before="120"/>
      </w:pPr>
      <w:r w:rsidRPr="00BB09E6">
        <w:rPr>
          <w:vertAlign w:val="superscript"/>
        </w:rPr>
        <w:t>1</w:t>
      </w:r>
      <w:r w:rsidR="00350C6E" w:rsidRPr="00D945EC">
        <w:tab/>
      </w:r>
      <w:r w:rsidR="003E7AFF" w:rsidRPr="003E7AFF">
        <w:t xml:space="preserve">Department of Transport, “Angel </w:t>
      </w:r>
      <w:proofErr w:type="spellStart"/>
      <w:r w:rsidR="003E7AFF" w:rsidRPr="003E7AFF">
        <w:t>Kanchev</w:t>
      </w:r>
      <w:proofErr w:type="spellEnd"/>
      <w:r w:rsidR="003E7AFF" w:rsidRPr="003E7AFF">
        <w:t>” University of Ruse, Ruse, Bulgaria.</w:t>
      </w:r>
      <w:r w:rsidR="00350C6E" w:rsidRPr="00D945EC">
        <w:t>;</w:t>
      </w:r>
      <w:r w:rsidR="0095000C" w:rsidRPr="0095000C">
        <w:t xml:space="preserve"> </w:t>
      </w:r>
    </w:p>
    <w:p w:rsidR="00350C6E" w:rsidRDefault="00350C6E" w:rsidP="00350C6E">
      <w:pPr>
        <w:pStyle w:val="MDPI16affiliation"/>
      </w:pPr>
      <w:r w:rsidRPr="00D945EC">
        <w:rPr>
          <w:vertAlign w:val="superscript"/>
        </w:rPr>
        <w:t>2</w:t>
      </w:r>
      <w:r w:rsidRPr="00D945EC">
        <w:tab/>
      </w:r>
      <w:r w:rsidR="00FF120F" w:rsidRPr="00FF120F">
        <w:t>Department "Chemistry and Hydrogen Energy" Kazan State Power Engineering University Kazan, Russia</w:t>
      </w:r>
      <w:r w:rsidRPr="00D945EC">
        <w:t>;</w:t>
      </w:r>
      <w:r w:rsidR="00FF120F">
        <w:t xml:space="preserve"> </w:t>
      </w:r>
      <w:r w:rsidR="00FF120F" w:rsidRPr="00FF120F">
        <w:t xml:space="preserve">aachichirova@mail.ru, pav_0910@mail.ru, </w:t>
      </w:r>
      <w:hyperlink r:id="rId8" w:history="1">
        <w:r w:rsidR="00740DB0" w:rsidRPr="005F0E64">
          <w:rPr>
            <w:rStyle w:val="a9"/>
          </w:rPr>
          <w:t>gizzatar@gmail.com</w:t>
        </w:r>
      </w:hyperlink>
      <w:r w:rsidR="0095000C" w:rsidRPr="0095000C">
        <w:t xml:space="preserve">, </w:t>
      </w:r>
      <w:r w:rsidR="0095000C" w:rsidRPr="00740DB0">
        <w:t>teema@list.ru</w:t>
      </w:r>
    </w:p>
    <w:p w:rsidR="00740DB0" w:rsidRPr="0095000C" w:rsidRDefault="00740DB0" w:rsidP="00350C6E">
      <w:pPr>
        <w:pStyle w:val="MDPI16affiliation"/>
        <w:rPr>
          <w:vertAlign w:val="superscript"/>
        </w:rPr>
      </w:pPr>
      <w:proofErr w:type="gramStart"/>
      <w:r>
        <w:rPr>
          <w:vertAlign w:val="superscript"/>
        </w:rPr>
        <w:t>3</w:t>
      </w:r>
      <w:r>
        <w:t xml:space="preserve">  </w:t>
      </w:r>
      <w:r w:rsidRPr="00740DB0">
        <w:t>Department</w:t>
      </w:r>
      <w:proofErr w:type="gramEnd"/>
      <w:r w:rsidRPr="00740DB0">
        <w:t xml:space="preserve"> of Heat, Hydraulics and Environmental Engineering, “Angel </w:t>
      </w:r>
      <w:proofErr w:type="spellStart"/>
      <w:r w:rsidRPr="00740DB0">
        <w:t>Kanchev</w:t>
      </w:r>
      <w:proofErr w:type="spellEnd"/>
      <w:r w:rsidRPr="00740DB0">
        <w:t>” University of Ruse, Ruse, Bulgaria</w:t>
      </w:r>
      <w:r>
        <w:t>;</w:t>
      </w:r>
    </w:p>
    <w:p w:rsidR="00350C6E" w:rsidRDefault="00350C6E" w:rsidP="00350C6E">
      <w:pPr>
        <w:pStyle w:val="MDPI16affiliation"/>
      </w:pPr>
      <w:r w:rsidRPr="003111DF">
        <w:rPr>
          <w:b/>
        </w:rPr>
        <w:t>*</w:t>
      </w:r>
      <w:r w:rsidRPr="00D945EC">
        <w:tab/>
        <w:t>Correspondence:</w:t>
      </w:r>
      <w:r w:rsidR="00FF120F">
        <w:t xml:space="preserve"> </w:t>
      </w:r>
      <w:r w:rsidR="00FF120F" w:rsidRPr="00FF120F">
        <w:t>aachichirova@mail.r</w:t>
      </w:r>
      <w:r w:rsidR="00740DB0">
        <w:t>u</w:t>
      </w:r>
      <w:r w:rsidR="007E5145">
        <w:t>.</w:t>
      </w:r>
    </w:p>
    <w:p w:rsidR="006B57F5" w:rsidRPr="008939B5" w:rsidRDefault="006B57F5" w:rsidP="00350C6E">
      <w:pPr>
        <w:pStyle w:val="MDPI16affiliation"/>
        <w:rPr>
          <w:color w:val="auto"/>
        </w:rPr>
      </w:pPr>
      <w:r w:rsidRPr="00C72AD0">
        <w:t>†</w:t>
      </w:r>
      <w:r w:rsidRPr="00C72AD0">
        <w:tab/>
      </w:r>
      <w:r w:rsidRPr="008939B5">
        <w:rPr>
          <w:color w:val="auto"/>
        </w:rPr>
        <w:t>Presented at the title, place, and date.</w:t>
      </w:r>
    </w:p>
    <w:p w:rsidR="00350C6E" w:rsidRPr="00550626" w:rsidRDefault="00350C6E" w:rsidP="00350C6E">
      <w:pPr>
        <w:pStyle w:val="MDPI17abstract"/>
        <w:rPr>
          <w:szCs w:val="18"/>
        </w:rPr>
      </w:pPr>
      <w:r w:rsidRPr="00550626">
        <w:rPr>
          <w:b/>
          <w:szCs w:val="18"/>
        </w:rPr>
        <w:t xml:space="preserve">Abstract: </w:t>
      </w:r>
      <w:r w:rsidR="00740DB0" w:rsidRPr="00740DB0">
        <w:rPr>
          <w:szCs w:val="18"/>
        </w:rPr>
        <w:t>Due to climate concerns, most countries are looking for alternative ways to generate energy in a clean, efficient and environmentally friendly way. Currently, a practical and technically feasible solution can be obtained by a gas turbine and a solid oxide fuel cell integrating to form a hybrid system. Experimental studies of thermophysical, electrochemical and other internal processes in solid oxide fuel cells are an expensive procedure, so theoretical tools such as simulation are very important in the analysis and design of a solid oxide fuel cell stack system. In this work, a 3D model of a planar fuel cell was studied. Numerical modeling was carried out, taking into account the flow channel design, the movement of thermal air and fuel flows. A calculation of the thermodynamic parameters of a solid oxide fuel cell on hydrocarbon fuel has been carried out. In conclusion, some constructive perspectives and recommendations for future research are offered.</w:t>
      </w:r>
    </w:p>
    <w:p w:rsidR="00350C6E" w:rsidRPr="00550626" w:rsidRDefault="00350C6E" w:rsidP="00350C6E">
      <w:pPr>
        <w:pStyle w:val="MDPI18keywords"/>
        <w:rPr>
          <w:szCs w:val="18"/>
        </w:rPr>
      </w:pPr>
      <w:r w:rsidRPr="00550626">
        <w:rPr>
          <w:b/>
          <w:szCs w:val="18"/>
        </w:rPr>
        <w:t xml:space="preserve">Keywords: </w:t>
      </w:r>
      <w:r w:rsidR="00740DB0" w:rsidRPr="00740DB0">
        <w:rPr>
          <w:szCs w:val="18"/>
        </w:rPr>
        <w:t>solid oxide fuel</w:t>
      </w:r>
      <w:r w:rsidR="00740DB0">
        <w:rPr>
          <w:szCs w:val="18"/>
        </w:rPr>
        <w:t>;</w:t>
      </w:r>
      <w:r w:rsidR="00740DB0" w:rsidRPr="00740DB0">
        <w:rPr>
          <w:szCs w:val="18"/>
        </w:rPr>
        <w:t xml:space="preserve"> numerical simulation</w:t>
      </w:r>
      <w:r w:rsidR="00740DB0">
        <w:rPr>
          <w:szCs w:val="18"/>
        </w:rPr>
        <w:t>;</w:t>
      </w:r>
      <w:r w:rsidR="00740DB0" w:rsidRPr="00740DB0">
        <w:rPr>
          <w:szCs w:val="18"/>
        </w:rPr>
        <w:t xml:space="preserve"> fuel reforming</w:t>
      </w:r>
      <w:r w:rsidR="00740DB0">
        <w:rPr>
          <w:szCs w:val="18"/>
        </w:rPr>
        <w:t>;</w:t>
      </w:r>
      <w:r w:rsidR="00740DB0" w:rsidRPr="00740DB0">
        <w:rPr>
          <w:szCs w:val="18"/>
        </w:rPr>
        <w:t xml:space="preserve"> hydrogen</w:t>
      </w:r>
    </w:p>
    <w:p w:rsidR="00350C6E" w:rsidRPr="00550626" w:rsidRDefault="00350C6E" w:rsidP="00350C6E">
      <w:pPr>
        <w:pStyle w:val="MDPI19line"/>
      </w:pPr>
    </w:p>
    <w:p w:rsidR="00350C6E" w:rsidRDefault="00350C6E" w:rsidP="009A29B1">
      <w:pPr>
        <w:pStyle w:val="MDPI21heading1"/>
        <w:ind w:left="0"/>
      </w:pPr>
    </w:p>
    <w:p w:rsidR="006B57F5" w:rsidRPr="008939B5" w:rsidRDefault="006B57F5" w:rsidP="006B57F5">
      <w:pPr>
        <w:pStyle w:val="MDPI21heading1"/>
      </w:pPr>
      <w:r w:rsidRPr="008939B5">
        <w:rPr>
          <w:lang w:eastAsia="zh-CN"/>
        </w:rPr>
        <w:t xml:space="preserve">1. </w:t>
      </w:r>
      <w:r>
        <w:t>Introduction</w:t>
      </w:r>
    </w:p>
    <w:p w:rsidR="00EA5224" w:rsidRDefault="00EA5224" w:rsidP="0095000C">
      <w:pPr>
        <w:pStyle w:val="MDPI31text"/>
        <w:rPr>
          <w:b/>
        </w:rPr>
      </w:pPr>
      <w:r w:rsidRPr="00EA5224">
        <w:t xml:space="preserve">Solid oxide fuel cell (SOFC) is a promising energy and resource-efficient technology [1]. However, carrying out experimental studies of SOFCs for various operating conditions is not always possible due to some technical and economic reasons. It is sometimes not possible to measure all flow characteristics such as temperature, pressure, or distribution of flow rates through a fuel cell using experimental methods. SOFCs numerical simulation reveals much more possibilities for researchers [2-4]. Accurate modeling of SOFCs is a complex task. The equations of mass, energy, charge, electron transport, and electrochemistry should be calculated simultaneously at the boundaries of liquid, solids, and porous media. This </w:t>
      </w:r>
      <w:proofErr w:type="spellStart"/>
      <w:r w:rsidRPr="00EA5224">
        <w:t>physico</w:t>
      </w:r>
      <w:proofErr w:type="spellEnd"/>
      <w:r w:rsidRPr="00EA5224">
        <w:t>-electrochemical task with a large number of involved parameters can be solved using commercial software packages by numerical simulation [5, 6].</w:t>
      </w:r>
    </w:p>
    <w:p w:rsidR="00EA5224" w:rsidRPr="00EA5224" w:rsidRDefault="00EA5224" w:rsidP="0095000C">
      <w:pPr>
        <w:pStyle w:val="MDPI31text"/>
      </w:pPr>
      <w:r w:rsidRPr="00EA5224">
        <w:t xml:space="preserve">The finite difference method (FDM), the finite volume method (FVM) and the finite element method (FEM) are the main applied numerical approaches for SOFCs modeling [7]. There are many commercial CFD packages based on FVM and FEM that are used for simulation of fluid and gas flows. The ANSYS and COMSOL software systems are the most frequently presented in the scientific literature among all available programs for CFD, </w:t>
      </w:r>
      <w:proofErr w:type="spellStart"/>
      <w:r w:rsidRPr="00EA5224">
        <w:t>multiphysics</w:t>
      </w:r>
      <w:proofErr w:type="spellEnd"/>
      <w:r w:rsidRPr="00EA5224">
        <w:t xml:space="preserve">, chemistry, and electrochemistry. There are fundamental differences between these software packages. For example, ANSYS is based on FVM, while COMSOL is based on FEM [8-10]. </w:t>
      </w:r>
    </w:p>
    <w:p w:rsidR="00EA5224" w:rsidRDefault="00EA5224" w:rsidP="0095000C">
      <w:pPr>
        <w:pStyle w:val="MDPI31text"/>
        <w:rPr>
          <w:b/>
        </w:rPr>
      </w:pPr>
      <w:r w:rsidRPr="00EA5224">
        <w:lastRenderedPageBreak/>
        <w:t>Tasks that can be solved by numerical methods include modeling of electrochemical processes, collector design, performance modeling, studying the influence of the electrode microstructure, analyzing thermal stresses, and developing new structural elements.</w:t>
      </w:r>
    </w:p>
    <w:p w:rsidR="00EA5224" w:rsidRDefault="00EA5224" w:rsidP="0095000C">
      <w:pPr>
        <w:pStyle w:val="MDPI31text"/>
        <w:rPr>
          <w:b/>
        </w:rPr>
      </w:pPr>
      <w:r w:rsidRPr="00EA5224">
        <w:t xml:space="preserve">Based on the literature data, eight areas related to the modeling and simulation of solid oxide fuel cells can be distinguished (Table 1) [11-14]. </w:t>
      </w:r>
    </w:p>
    <w:p w:rsidR="004407DB" w:rsidRPr="004407DB" w:rsidRDefault="004407DB" w:rsidP="004407DB">
      <w:pPr>
        <w:pStyle w:val="MDPI41tablecaption"/>
        <w:spacing w:before="120" w:after="240"/>
        <w:jc w:val="both"/>
      </w:pPr>
      <w:r>
        <w:rPr>
          <w:b/>
        </w:rPr>
        <w:t>Table 1</w:t>
      </w:r>
      <w:r w:rsidRPr="00325902">
        <w:rPr>
          <w:b/>
        </w:rPr>
        <w:t>.</w:t>
      </w:r>
      <w:r w:rsidRPr="00325902">
        <w:t xml:space="preserve"> </w:t>
      </w:r>
      <w:r w:rsidRPr="004407DB">
        <w:t>Current SOFCs modeling areas.</w:t>
      </w:r>
    </w:p>
    <w:tbl>
      <w:tblPr>
        <w:tblW w:w="7882"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4055"/>
        <w:gridCol w:w="3827"/>
      </w:tblGrid>
      <w:tr w:rsidR="004407DB" w:rsidRPr="00AD6DF9" w:rsidTr="0095000C">
        <w:tc>
          <w:tcPr>
            <w:tcW w:w="4055" w:type="dxa"/>
            <w:tcBorders>
              <w:bottom w:val="single" w:sz="4" w:space="0" w:color="auto"/>
            </w:tcBorders>
            <w:shd w:val="clear" w:color="auto" w:fill="auto"/>
            <w:vAlign w:val="center"/>
          </w:tcPr>
          <w:p w:rsidR="004407DB" w:rsidRPr="008624D6" w:rsidRDefault="0001045D" w:rsidP="004936C5">
            <w:pPr>
              <w:pStyle w:val="MDPI42tablebody"/>
              <w:spacing w:line="240" w:lineRule="auto"/>
              <w:rPr>
                <w:b/>
                <w:snapToGrid/>
                <w:lang w:val="ru-RU"/>
              </w:rPr>
            </w:pPr>
            <w:proofErr w:type="spellStart"/>
            <w:r w:rsidRPr="0001045D">
              <w:rPr>
                <w:b/>
                <w:snapToGrid/>
                <w:lang w:val="ru-RU"/>
              </w:rPr>
              <w:t>Modeling</w:t>
            </w:r>
            <w:proofErr w:type="spellEnd"/>
            <w:r w:rsidRPr="0001045D">
              <w:rPr>
                <w:b/>
                <w:snapToGrid/>
                <w:lang w:val="ru-RU"/>
              </w:rPr>
              <w:t xml:space="preserve"> </w:t>
            </w:r>
            <w:proofErr w:type="spellStart"/>
            <w:r w:rsidRPr="0001045D">
              <w:rPr>
                <w:b/>
                <w:snapToGrid/>
                <w:lang w:val="ru-RU"/>
              </w:rPr>
              <w:t>area</w:t>
            </w:r>
            <w:proofErr w:type="spellEnd"/>
          </w:p>
        </w:tc>
        <w:tc>
          <w:tcPr>
            <w:tcW w:w="3827" w:type="dxa"/>
            <w:tcBorders>
              <w:bottom w:val="single" w:sz="4" w:space="0" w:color="auto"/>
            </w:tcBorders>
            <w:shd w:val="clear" w:color="auto" w:fill="auto"/>
            <w:vAlign w:val="center"/>
          </w:tcPr>
          <w:p w:rsidR="004407DB" w:rsidRPr="007F7C8C" w:rsidRDefault="0001045D" w:rsidP="004936C5">
            <w:pPr>
              <w:pStyle w:val="MDPI42tablebody"/>
              <w:spacing w:line="240" w:lineRule="auto"/>
              <w:rPr>
                <w:b/>
                <w:snapToGrid/>
              </w:rPr>
            </w:pPr>
            <w:r w:rsidRPr="0001045D">
              <w:rPr>
                <w:b/>
                <w:snapToGrid/>
              </w:rPr>
              <w:t>Simulation parameters</w:t>
            </w:r>
          </w:p>
        </w:tc>
      </w:tr>
      <w:tr w:rsidR="0001045D" w:rsidRPr="00AD6DF9" w:rsidTr="0095000C">
        <w:tc>
          <w:tcPr>
            <w:tcW w:w="4055" w:type="dxa"/>
            <w:shd w:val="clear" w:color="auto" w:fill="auto"/>
            <w:vAlign w:val="center"/>
          </w:tcPr>
          <w:p w:rsidR="0001045D" w:rsidRPr="00F220D4" w:rsidRDefault="0001045D" w:rsidP="004936C5">
            <w:pPr>
              <w:pStyle w:val="MDPI42tablebody"/>
              <w:spacing w:line="240" w:lineRule="auto"/>
            </w:pPr>
            <w:r w:rsidRPr="004407DB">
              <w:t>Simulation of specific processes</w:t>
            </w:r>
          </w:p>
        </w:tc>
        <w:tc>
          <w:tcPr>
            <w:tcW w:w="3827" w:type="dxa"/>
            <w:shd w:val="clear" w:color="auto" w:fill="auto"/>
            <w:vAlign w:val="center"/>
          </w:tcPr>
          <w:p w:rsidR="0001045D" w:rsidRPr="00F220D4" w:rsidRDefault="0001045D" w:rsidP="004936C5">
            <w:pPr>
              <w:pStyle w:val="MDPI42tablebody"/>
              <w:spacing w:line="240" w:lineRule="auto"/>
            </w:pPr>
            <w:r w:rsidRPr="004407DB">
              <w:t>Electrochemical reaction, electrode microstructure</w:t>
            </w:r>
          </w:p>
        </w:tc>
      </w:tr>
      <w:tr w:rsidR="0001045D" w:rsidRPr="00AD6DF9" w:rsidTr="0095000C">
        <w:tc>
          <w:tcPr>
            <w:tcW w:w="4055" w:type="dxa"/>
            <w:shd w:val="clear" w:color="auto" w:fill="auto"/>
            <w:vAlign w:val="center"/>
          </w:tcPr>
          <w:p w:rsidR="0001045D" w:rsidRPr="00F220D4" w:rsidRDefault="0001045D" w:rsidP="004407DB">
            <w:pPr>
              <w:pStyle w:val="MDPI42tablebody"/>
              <w:spacing w:line="240" w:lineRule="auto"/>
            </w:pPr>
            <w:r w:rsidRPr="004407DB">
              <w:t>Alternative fuels</w:t>
            </w:r>
          </w:p>
        </w:tc>
        <w:tc>
          <w:tcPr>
            <w:tcW w:w="3827" w:type="dxa"/>
            <w:shd w:val="clear" w:color="auto" w:fill="auto"/>
            <w:vAlign w:val="center"/>
          </w:tcPr>
          <w:p w:rsidR="0001045D" w:rsidRPr="00F220D4" w:rsidRDefault="0001045D" w:rsidP="004936C5">
            <w:pPr>
              <w:pStyle w:val="MDPI42tablebody"/>
              <w:spacing w:line="240" w:lineRule="auto"/>
            </w:pPr>
            <w:r w:rsidRPr="004407DB">
              <w:t>Special fuel processing options, typical impurities and purification systems</w:t>
            </w:r>
          </w:p>
        </w:tc>
      </w:tr>
      <w:tr w:rsidR="0001045D" w:rsidRPr="00AD6DF9" w:rsidTr="0095000C">
        <w:tc>
          <w:tcPr>
            <w:tcW w:w="4055" w:type="dxa"/>
            <w:shd w:val="clear" w:color="auto" w:fill="auto"/>
            <w:vAlign w:val="center"/>
          </w:tcPr>
          <w:p w:rsidR="0001045D" w:rsidRPr="004407DB" w:rsidRDefault="0001045D" w:rsidP="004936C5">
            <w:pPr>
              <w:pStyle w:val="MDPI42tablebody"/>
              <w:spacing w:line="240" w:lineRule="auto"/>
            </w:pPr>
            <w:r w:rsidRPr="004407DB">
              <w:t>Reforming</w:t>
            </w:r>
          </w:p>
        </w:tc>
        <w:tc>
          <w:tcPr>
            <w:tcW w:w="3827" w:type="dxa"/>
            <w:shd w:val="clear" w:color="auto" w:fill="auto"/>
            <w:vAlign w:val="center"/>
          </w:tcPr>
          <w:p w:rsidR="0001045D" w:rsidRPr="00F220D4" w:rsidRDefault="0001045D" w:rsidP="004936C5">
            <w:pPr>
              <w:pStyle w:val="MDPI42tablebody"/>
              <w:spacing w:line="240" w:lineRule="auto"/>
            </w:pPr>
            <w:r w:rsidRPr="004407DB">
              <w:t>Internal, external and partial preliminary preparation</w:t>
            </w:r>
          </w:p>
        </w:tc>
      </w:tr>
      <w:tr w:rsidR="0001045D" w:rsidRPr="00AD6DF9" w:rsidTr="0095000C">
        <w:tc>
          <w:tcPr>
            <w:tcW w:w="4055" w:type="dxa"/>
            <w:shd w:val="clear" w:color="auto" w:fill="auto"/>
            <w:vAlign w:val="center"/>
          </w:tcPr>
          <w:p w:rsidR="0001045D" w:rsidRPr="004407DB" w:rsidRDefault="0001045D" w:rsidP="004936C5">
            <w:pPr>
              <w:pStyle w:val="MDPI42tablebody"/>
              <w:spacing w:line="240" w:lineRule="auto"/>
            </w:pPr>
            <w:r w:rsidRPr="004407DB">
              <w:t>Operation parameters</w:t>
            </w:r>
          </w:p>
        </w:tc>
        <w:tc>
          <w:tcPr>
            <w:tcW w:w="3827" w:type="dxa"/>
            <w:shd w:val="clear" w:color="auto" w:fill="auto"/>
            <w:vAlign w:val="center"/>
          </w:tcPr>
          <w:p w:rsidR="0001045D" w:rsidRPr="00F220D4" w:rsidRDefault="0001045D" w:rsidP="004936C5">
            <w:pPr>
              <w:pStyle w:val="MDPI42tablebody"/>
              <w:spacing w:line="240" w:lineRule="auto"/>
            </w:pPr>
            <w:r w:rsidRPr="004407DB">
              <w:t>Influence of temperature, pressure and fuel composition</w:t>
            </w:r>
          </w:p>
        </w:tc>
      </w:tr>
      <w:tr w:rsidR="0001045D" w:rsidRPr="00AD6DF9" w:rsidTr="0095000C">
        <w:tc>
          <w:tcPr>
            <w:tcW w:w="4055" w:type="dxa"/>
            <w:shd w:val="clear" w:color="auto" w:fill="auto"/>
            <w:vAlign w:val="center"/>
          </w:tcPr>
          <w:p w:rsidR="0001045D" w:rsidRPr="004407DB" w:rsidRDefault="0001045D" w:rsidP="004936C5">
            <w:pPr>
              <w:pStyle w:val="MDPI42tablebody"/>
              <w:spacing w:line="240" w:lineRule="auto"/>
            </w:pPr>
            <w:r w:rsidRPr="004407DB">
              <w:t>Thermal effects</w:t>
            </w:r>
          </w:p>
        </w:tc>
        <w:tc>
          <w:tcPr>
            <w:tcW w:w="3827" w:type="dxa"/>
            <w:shd w:val="clear" w:color="auto" w:fill="auto"/>
            <w:vAlign w:val="center"/>
          </w:tcPr>
          <w:p w:rsidR="0001045D" w:rsidRPr="00F220D4" w:rsidRDefault="0001045D" w:rsidP="004936C5">
            <w:pPr>
              <w:pStyle w:val="MDPI42tablebody"/>
              <w:spacing w:line="240" w:lineRule="auto"/>
            </w:pPr>
            <w:r w:rsidRPr="004407DB">
              <w:t>Evaluation of various heat transfer phenomena in collectors, stacks and single cells</w:t>
            </w:r>
          </w:p>
        </w:tc>
      </w:tr>
      <w:tr w:rsidR="0001045D" w:rsidRPr="00AD6DF9" w:rsidTr="0095000C">
        <w:tc>
          <w:tcPr>
            <w:tcW w:w="4055" w:type="dxa"/>
            <w:shd w:val="clear" w:color="auto" w:fill="auto"/>
            <w:vAlign w:val="center"/>
          </w:tcPr>
          <w:p w:rsidR="0001045D" w:rsidRPr="004407DB" w:rsidRDefault="0001045D" w:rsidP="004936C5">
            <w:pPr>
              <w:pStyle w:val="MDPI42tablebody"/>
              <w:spacing w:line="240" w:lineRule="auto"/>
            </w:pPr>
            <w:r w:rsidRPr="004407DB">
              <w:t>Design</w:t>
            </w:r>
          </w:p>
        </w:tc>
        <w:tc>
          <w:tcPr>
            <w:tcW w:w="3827" w:type="dxa"/>
            <w:shd w:val="clear" w:color="auto" w:fill="auto"/>
            <w:vAlign w:val="center"/>
          </w:tcPr>
          <w:p w:rsidR="0001045D" w:rsidRPr="00F220D4" w:rsidRDefault="0001045D" w:rsidP="004936C5">
            <w:pPr>
              <w:pStyle w:val="MDPI42tablebody"/>
              <w:spacing w:line="240" w:lineRule="auto"/>
            </w:pPr>
            <w:r w:rsidRPr="004407DB">
              <w:t>Planar and tubular structures, layer thicknesses and materials</w:t>
            </w:r>
          </w:p>
        </w:tc>
      </w:tr>
      <w:tr w:rsidR="0001045D" w:rsidRPr="00AD6DF9" w:rsidTr="0095000C">
        <w:tc>
          <w:tcPr>
            <w:tcW w:w="4055" w:type="dxa"/>
            <w:shd w:val="clear" w:color="auto" w:fill="auto"/>
            <w:vAlign w:val="center"/>
          </w:tcPr>
          <w:p w:rsidR="0001045D" w:rsidRPr="004407DB" w:rsidRDefault="0001045D" w:rsidP="004936C5">
            <w:pPr>
              <w:pStyle w:val="MDPI42tablebody"/>
              <w:spacing w:line="240" w:lineRule="auto"/>
            </w:pPr>
            <w:r w:rsidRPr="004407DB">
              <w:t>Degradation</w:t>
            </w:r>
          </w:p>
        </w:tc>
        <w:tc>
          <w:tcPr>
            <w:tcW w:w="3827" w:type="dxa"/>
            <w:shd w:val="clear" w:color="auto" w:fill="auto"/>
            <w:vAlign w:val="center"/>
          </w:tcPr>
          <w:p w:rsidR="0001045D" w:rsidRPr="00F220D4" w:rsidRDefault="0001045D" w:rsidP="004936C5">
            <w:pPr>
              <w:pStyle w:val="MDPI42tablebody"/>
              <w:spacing w:line="240" w:lineRule="auto"/>
            </w:pPr>
            <w:r w:rsidRPr="004407DB">
              <w:t>Degradation mechanisms due to impurities and thermal cycle</w:t>
            </w:r>
          </w:p>
        </w:tc>
      </w:tr>
      <w:tr w:rsidR="0001045D" w:rsidRPr="00AD6DF9" w:rsidTr="0095000C">
        <w:tc>
          <w:tcPr>
            <w:tcW w:w="4055" w:type="dxa"/>
            <w:shd w:val="clear" w:color="auto" w:fill="auto"/>
            <w:vAlign w:val="center"/>
          </w:tcPr>
          <w:p w:rsidR="0001045D" w:rsidRPr="004407DB" w:rsidRDefault="0001045D" w:rsidP="004936C5">
            <w:pPr>
              <w:pStyle w:val="MDPI42tablebody"/>
              <w:spacing w:line="240" w:lineRule="auto"/>
            </w:pPr>
            <w:r w:rsidRPr="004407DB">
              <w:t>System level research</w:t>
            </w:r>
          </w:p>
        </w:tc>
        <w:tc>
          <w:tcPr>
            <w:tcW w:w="3827" w:type="dxa"/>
            <w:shd w:val="clear" w:color="auto" w:fill="auto"/>
            <w:vAlign w:val="center"/>
          </w:tcPr>
          <w:p w:rsidR="0001045D" w:rsidRPr="00F220D4" w:rsidRDefault="0001045D" w:rsidP="004936C5">
            <w:pPr>
              <w:pStyle w:val="MDPI42tablebody"/>
              <w:spacing w:line="240" w:lineRule="auto"/>
            </w:pPr>
            <w:r w:rsidRPr="004407DB">
              <w:t>Evaluation of the influence of the properties of a single cell on the entire stack</w:t>
            </w:r>
          </w:p>
        </w:tc>
      </w:tr>
    </w:tbl>
    <w:p w:rsidR="008624D6" w:rsidRDefault="008624D6" w:rsidP="008624D6">
      <w:pPr>
        <w:pStyle w:val="MDPI21heading1"/>
        <w:spacing w:after="0"/>
        <w:ind w:left="0"/>
        <w:jc w:val="both"/>
        <w:rPr>
          <w:b w:val="0"/>
        </w:rPr>
      </w:pPr>
    </w:p>
    <w:p w:rsidR="008624D6" w:rsidRPr="008624D6" w:rsidRDefault="008624D6" w:rsidP="00196A9A">
      <w:pPr>
        <w:pStyle w:val="MDPI31text"/>
      </w:pPr>
      <w:r w:rsidRPr="008624D6">
        <w:t>An important advantage of the SOFC is the possibility of internal conversion of hydrocarbon fuel into hydrogen. Therefore, it is possible to use methane and synthesis gas as fuel without a pre-reformer system. In the case of external fuel reforming, SOFCs can use complex hydrocarbons, biofuels, industrial and social wastes, but it is necessary to carry out purification from sulfur [15]. For example, during oil refining, a hydrogen-containing gas is formed with hydrocarbons from C1 to C7, which can be converted by steam reforming to synthesis gas and then fed to the SOFC.</w:t>
      </w:r>
    </w:p>
    <w:p w:rsidR="004407DB" w:rsidRDefault="008624D6" w:rsidP="00196A9A">
      <w:pPr>
        <w:pStyle w:val="MDPI31text"/>
        <w:rPr>
          <w:b/>
        </w:rPr>
      </w:pPr>
      <w:r w:rsidRPr="008624D6">
        <w:t>The issues of improving the environmental friendliness of industrial enterprises and reducing the negative impact of gas wastes on the environment are relevant today. Therefore, the purpose of the paper is to study the possibility of the SOFC operation on various fuels and to compare the parameters of operation on hydrogen and oil refining waste.</w:t>
      </w:r>
    </w:p>
    <w:p w:rsidR="006B57F5" w:rsidRPr="008624D6" w:rsidRDefault="006B57F5" w:rsidP="004407DB">
      <w:pPr>
        <w:pStyle w:val="MDPI21heading1"/>
        <w:rPr>
          <w:rFonts w:eastAsia="SimSun"/>
          <w:lang w:eastAsia="zh-CN"/>
        </w:rPr>
      </w:pPr>
      <w:r>
        <w:rPr>
          <w:lang w:eastAsia="zh-CN"/>
        </w:rPr>
        <w:t xml:space="preserve">2. </w:t>
      </w:r>
      <w:r w:rsidR="008624D6" w:rsidRPr="008624D6">
        <w:t xml:space="preserve">Materials and </w:t>
      </w:r>
      <w:r w:rsidR="00A43B19">
        <w:t>M</w:t>
      </w:r>
      <w:r w:rsidR="008624D6" w:rsidRPr="008624D6">
        <w:t>ethods</w:t>
      </w:r>
    </w:p>
    <w:p w:rsidR="00A43B19" w:rsidRDefault="00A43B19" w:rsidP="00A43B19">
      <w:pPr>
        <w:pStyle w:val="MDPI31text"/>
        <w:rPr>
          <w:lang w:eastAsia="en-US"/>
        </w:rPr>
      </w:pPr>
      <w:r>
        <w:rPr>
          <w:lang w:eastAsia="en-US"/>
        </w:rPr>
        <w:t>Numerical simulation was carried out on a personal computer with an Intel Xeon Gold processor, 512 GB of total RAM and a 1 TB SSD for more accurate and faster mathematical calculations.</w:t>
      </w:r>
    </w:p>
    <w:p w:rsidR="00A43B19" w:rsidRDefault="00A43B19" w:rsidP="00A43B19">
      <w:pPr>
        <w:pStyle w:val="MDPI31text"/>
        <w:rPr>
          <w:lang w:eastAsia="en-US"/>
        </w:rPr>
      </w:pPr>
      <w:r>
        <w:rPr>
          <w:lang w:eastAsia="en-US"/>
        </w:rPr>
        <w:t>The calculations were carried out in the COMSOL Multiphysics 2021 – universal software system for finite element analysis.</w:t>
      </w:r>
    </w:p>
    <w:p w:rsidR="00A43B19" w:rsidRDefault="00A43B19" w:rsidP="00945904">
      <w:pPr>
        <w:pStyle w:val="MDPI31text"/>
        <w:rPr>
          <w:lang w:eastAsia="en-US"/>
        </w:rPr>
      </w:pPr>
      <w:r>
        <w:rPr>
          <w:lang w:eastAsia="en-US"/>
        </w:rPr>
        <w:t xml:space="preserve">The geometric 3D model is built according to the specification of the actual stack design. The model is based on a 1 kW anode-supported planar SOFC developed in China. The cell size of SOFC is 16×16 cm2, with an active area of 10×10 cm2. Flows enter/exit the stack (fuel cells) through gas inlets/outlets (manifolds). Each fuel cell module block consists of a membrane-electrode complex – cathode (positive electrode), electrolyte, anode (negative electrode), air and fuel channels, and interconnections. Thus, the electrochemical active area of a 30-element SOFC stack consists of 900 identical block modules. Due to </w:t>
      </w:r>
      <w:r>
        <w:rPr>
          <w:lang w:eastAsia="en-US"/>
        </w:rPr>
        <w:lastRenderedPageBreak/>
        <w:t>the same geometry, a numerical simulation of one block of the SOFC cell was carried out. The dimensions and geometry of the block are presented in Table 2.</w:t>
      </w:r>
    </w:p>
    <w:p w:rsidR="00A43B19" w:rsidRPr="00293811" w:rsidRDefault="00A43B19" w:rsidP="00293811">
      <w:pPr>
        <w:pStyle w:val="MDPI41tablecaption"/>
      </w:pPr>
      <w:r w:rsidRPr="00293811">
        <w:rPr>
          <w:b/>
          <w:bCs/>
        </w:rPr>
        <w:t>Table 2</w:t>
      </w:r>
      <w:r w:rsidRPr="00293811">
        <w:t>. Geometry and materials of SOFC cell block</w:t>
      </w:r>
    </w:p>
    <w:tbl>
      <w:tblPr>
        <w:tblW w:w="10490"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3969"/>
        <w:gridCol w:w="1701"/>
        <w:gridCol w:w="1701"/>
        <w:gridCol w:w="1560"/>
        <w:gridCol w:w="1559"/>
      </w:tblGrid>
      <w:tr w:rsidR="00A43B19" w:rsidRPr="00AD6DF9" w:rsidTr="007A11D8">
        <w:tc>
          <w:tcPr>
            <w:tcW w:w="3969" w:type="dxa"/>
            <w:tcBorders>
              <w:bottom w:val="single" w:sz="4" w:space="0" w:color="auto"/>
            </w:tcBorders>
            <w:shd w:val="clear" w:color="auto" w:fill="auto"/>
            <w:vAlign w:val="center"/>
          </w:tcPr>
          <w:p w:rsidR="00A43B19" w:rsidRPr="007F7C8C" w:rsidRDefault="00A43B19" w:rsidP="004936C5">
            <w:pPr>
              <w:pStyle w:val="MDPI42tablebody"/>
              <w:spacing w:line="240" w:lineRule="auto"/>
              <w:rPr>
                <w:b/>
                <w:snapToGrid/>
              </w:rPr>
            </w:pPr>
          </w:p>
        </w:tc>
        <w:tc>
          <w:tcPr>
            <w:tcW w:w="1701" w:type="dxa"/>
            <w:tcBorders>
              <w:bottom w:val="single" w:sz="4" w:space="0" w:color="auto"/>
            </w:tcBorders>
            <w:shd w:val="clear" w:color="auto" w:fill="auto"/>
            <w:vAlign w:val="center"/>
          </w:tcPr>
          <w:p w:rsidR="00A43B19" w:rsidRPr="007F7C8C" w:rsidRDefault="0001045D" w:rsidP="004936C5">
            <w:pPr>
              <w:pStyle w:val="MDPI42tablebody"/>
              <w:spacing w:line="240" w:lineRule="auto"/>
              <w:rPr>
                <w:b/>
                <w:snapToGrid/>
              </w:rPr>
            </w:pPr>
            <w:r w:rsidRPr="0001045D">
              <w:rPr>
                <w:b/>
                <w:snapToGrid/>
              </w:rPr>
              <w:t>Material</w:t>
            </w:r>
          </w:p>
        </w:tc>
        <w:tc>
          <w:tcPr>
            <w:tcW w:w="1701" w:type="dxa"/>
            <w:tcBorders>
              <w:bottom w:val="single" w:sz="4" w:space="0" w:color="auto"/>
            </w:tcBorders>
            <w:shd w:val="clear" w:color="auto" w:fill="auto"/>
            <w:vAlign w:val="center"/>
          </w:tcPr>
          <w:p w:rsidR="00A43B19" w:rsidRPr="007F7C8C" w:rsidRDefault="0001045D" w:rsidP="004936C5">
            <w:pPr>
              <w:pStyle w:val="MDPI42tablebody"/>
              <w:spacing w:line="240" w:lineRule="auto"/>
              <w:rPr>
                <w:b/>
                <w:snapToGrid/>
              </w:rPr>
            </w:pPr>
            <w:r w:rsidRPr="0001045D">
              <w:rPr>
                <w:b/>
                <w:snapToGrid/>
              </w:rPr>
              <w:t>Dimensions (length, width, height)</w:t>
            </w:r>
          </w:p>
        </w:tc>
        <w:tc>
          <w:tcPr>
            <w:tcW w:w="1560" w:type="dxa"/>
            <w:tcBorders>
              <w:bottom w:val="single" w:sz="4" w:space="0" w:color="auto"/>
            </w:tcBorders>
            <w:vAlign w:val="center"/>
          </w:tcPr>
          <w:p w:rsidR="00A43B19" w:rsidRPr="007F7C8C" w:rsidRDefault="0001045D" w:rsidP="0001045D">
            <w:pPr>
              <w:pStyle w:val="MDPI42tablebody"/>
              <w:spacing w:line="240" w:lineRule="auto"/>
              <w:rPr>
                <w:b/>
                <w:snapToGrid/>
              </w:rPr>
            </w:pPr>
            <w:r w:rsidRPr="0001045D">
              <w:rPr>
                <w:b/>
                <w:snapToGrid/>
              </w:rPr>
              <w:t>Porosity</w:t>
            </w:r>
          </w:p>
        </w:tc>
        <w:tc>
          <w:tcPr>
            <w:tcW w:w="1559" w:type="dxa"/>
            <w:tcBorders>
              <w:bottom w:val="single" w:sz="4" w:space="0" w:color="auto"/>
            </w:tcBorders>
            <w:vAlign w:val="center"/>
          </w:tcPr>
          <w:p w:rsidR="00A43B19" w:rsidRPr="007F7C8C" w:rsidRDefault="0001045D" w:rsidP="0001045D">
            <w:pPr>
              <w:pStyle w:val="MDPI42tablebody"/>
              <w:spacing w:line="240" w:lineRule="auto"/>
              <w:rPr>
                <w:b/>
                <w:snapToGrid/>
              </w:rPr>
            </w:pPr>
            <w:r w:rsidRPr="0001045D">
              <w:rPr>
                <w:b/>
                <w:snapToGrid/>
              </w:rPr>
              <w:t>Tortuosity</w:t>
            </w:r>
          </w:p>
        </w:tc>
      </w:tr>
      <w:tr w:rsidR="00A43B19" w:rsidRPr="00AD6DF9" w:rsidTr="007A11D8">
        <w:tc>
          <w:tcPr>
            <w:tcW w:w="3969" w:type="dxa"/>
            <w:shd w:val="clear" w:color="auto" w:fill="auto"/>
            <w:vAlign w:val="center"/>
          </w:tcPr>
          <w:p w:rsidR="00A43B19" w:rsidRPr="00F220D4" w:rsidRDefault="0001045D" w:rsidP="004936C5">
            <w:pPr>
              <w:pStyle w:val="MDPI42tablebody"/>
              <w:spacing w:line="240" w:lineRule="auto"/>
            </w:pPr>
            <w:r w:rsidRPr="0001045D">
              <w:t>Channel</w:t>
            </w:r>
          </w:p>
        </w:tc>
        <w:tc>
          <w:tcPr>
            <w:tcW w:w="1701" w:type="dxa"/>
            <w:shd w:val="clear" w:color="auto" w:fill="auto"/>
            <w:vAlign w:val="center"/>
          </w:tcPr>
          <w:p w:rsidR="00A43B19" w:rsidRPr="00F220D4" w:rsidRDefault="0001045D" w:rsidP="004936C5">
            <w:pPr>
              <w:pStyle w:val="MDPI42tablebody"/>
              <w:spacing w:line="240" w:lineRule="auto"/>
            </w:pPr>
            <w:r w:rsidRPr="0001045D">
              <w:t>steel</w:t>
            </w:r>
          </w:p>
        </w:tc>
        <w:tc>
          <w:tcPr>
            <w:tcW w:w="1701" w:type="dxa"/>
            <w:shd w:val="clear" w:color="auto" w:fill="auto"/>
            <w:vAlign w:val="center"/>
          </w:tcPr>
          <w:p w:rsidR="00A43B19" w:rsidRPr="00F220D4" w:rsidRDefault="0001045D" w:rsidP="004936C5">
            <w:pPr>
              <w:pStyle w:val="MDPI42tablebody"/>
              <w:spacing w:line="240" w:lineRule="auto"/>
            </w:pPr>
            <w:r w:rsidRPr="0001045D">
              <w:t>100×1.4×1.4</w:t>
            </w:r>
          </w:p>
        </w:tc>
        <w:tc>
          <w:tcPr>
            <w:tcW w:w="1560" w:type="dxa"/>
          </w:tcPr>
          <w:p w:rsidR="00A43B19" w:rsidRPr="00F220D4" w:rsidRDefault="00A43B19" w:rsidP="004936C5">
            <w:pPr>
              <w:pStyle w:val="MDPI42tablebody"/>
              <w:spacing w:line="240" w:lineRule="auto"/>
            </w:pPr>
          </w:p>
        </w:tc>
        <w:tc>
          <w:tcPr>
            <w:tcW w:w="1559" w:type="dxa"/>
          </w:tcPr>
          <w:p w:rsidR="00A43B19" w:rsidRPr="00F220D4" w:rsidRDefault="00A43B19" w:rsidP="004936C5">
            <w:pPr>
              <w:pStyle w:val="MDPI42tablebody"/>
              <w:spacing w:line="240" w:lineRule="auto"/>
            </w:pPr>
          </w:p>
        </w:tc>
      </w:tr>
      <w:tr w:rsidR="0001045D" w:rsidRPr="00AD6DF9" w:rsidTr="007A11D8">
        <w:tc>
          <w:tcPr>
            <w:tcW w:w="3969" w:type="dxa"/>
            <w:shd w:val="clear" w:color="auto" w:fill="auto"/>
            <w:vAlign w:val="center"/>
          </w:tcPr>
          <w:p w:rsidR="0001045D" w:rsidRPr="00F220D4" w:rsidRDefault="0001045D" w:rsidP="0001045D">
            <w:pPr>
              <w:pStyle w:val="MDPI42tablebody"/>
              <w:spacing w:line="240" w:lineRule="auto"/>
            </w:pPr>
            <w:r w:rsidRPr="0001045D">
              <w:t>Edge</w:t>
            </w:r>
          </w:p>
        </w:tc>
        <w:tc>
          <w:tcPr>
            <w:tcW w:w="1701" w:type="dxa"/>
            <w:shd w:val="clear" w:color="auto" w:fill="auto"/>
            <w:vAlign w:val="center"/>
          </w:tcPr>
          <w:p w:rsidR="0001045D" w:rsidRPr="00F220D4" w:rsidRDefault="0001045D" w:rsidP="0001045D">
            <w:pPr>
              <w:pStyle w:val="MDPI42tablebody"/>
              <w:spacing w:line="240" w:lineRule="auto"/>
            </w:pPr>
            <w:r w:rsidRPr="0001045D">
              <w:t>steel</w:t>
            </w:r>
          </w:p>
        </w:tc>
        <w:tc>
          <w:tcPr>
            <w:tcW w:w="1701" w:type="dxa"/>
            <w:shd w:val="clear" w:color="auto" w:fill="auto"/>
            <w:vAlign w:val="center"/>
          </w:tcPr>
          <w:p w:rsidR="0001045D" w:rsidRPr="00F220D4" w:rsidRDefault="0001045D" w:rsidP="0001045D">
            <w:pPr>
              <w:pStyle w:val="MDPI42tablebody"/>
              <w:spacing w:line="240" w:lineRule="auto"/>
            </w:pPr>
            <w:r w:rsidRPr="0001045D">
              <w:t>100×1×1.6</w:t>
            </w:r>
          </w:p>
        </w:tc>
        <w:tc>
          <w:tcPr>
            <w:tcW w:w="1560" w:type="dxa"/>
          </w:tcPr>
          <w:p w:rsidR="0001045D" w:rsidRPr="00F220D4" w:rsidRDefault="0001045D" w:rsidP="0001045D">
            <w:pPr>
              <w:pStyle w:val="MDPI42tablebody"/>
              <w:spacing w:line="240" w:lineRule="auto"/>
            </w:pPr>
          </w:p>
        </w:tc>
        <w:tc>
          <w:tcPr>
            <w:tcW w:w="1559" w:type="dxa"/>
          </w:tcPr>
          <w:p w:rsidR="0001045D" w:rsidRPr="00F220D4" w:rsidRDefault="0001045D" w:rsidP="0001045D">
            <w:pPr>
              <w:pStyle w:val="MDPI42tablebody"/>
              <w:spacing w:line="240" w:lineRule="auto"/>
            </w:pPr>
          </w:p>
        </w:tc>
      </w:tr>
      <w:tr w:rsidR="0001045D" w:rsidRPr="00AD6DF9" w:rsidTr="007A11D8">
        <w:tc>
          <w:tcPr>
            <w:tcW w:w="3969" w:type="dxa"/>
            <w:shd w:val="clear" w:color="auto" w:fill="auto"/>
            <w:vAlign w:val="center"/>
          </w:tcPr>
          <w:p w:rsidR="0001045D" w:rsidRPr="0001045D" w:rsidRDefault="0001045D" w:rsidP="004936C5">
            <w:pPr>
              <w:pStyle w:val="MDPI42tablebody"/>
              <w:spacing w:line="240" w:lineRule="auto"/>
            </w:pPr>
            <w:r w:rsidRPr="0001045D">
              <w:t>Anode</w:t>
            </w:r>
          </w:p>
        </w:tc>
        <w:tc>
          <w:tcPr>
            <w:tcW w:w="1701" w:type="dxa"/>
            <w:shd w:val="clear" w:color="auto" w:fill="auto"/>
            <w:vAlign w:val="center"/>
          </w:tcPr>
          <w:p w:rsidR="0001045D" w:rsidRPr="007A11D8" w:rsidRDefault="0001045D" w:rsidP="004936C5">
            <w:pPr>
              <w:pStyle w:val="MDPI42tablebody"/>
              <w:spacing w:line="240" w:lineRule="auto"/>
              <w:rPr>
                <w:vertAlign w:val="superscript"/>
                <w:lang w:val="ru-RU"/>
              </w:rPr>
            </w:pPr>
            <w:r w:rsidRPr="0001045D">
              <w:t>YSZ</w:t>
            </w:r>
            <w:r w:rsidR="007A11D8">
              <w:rPr>
                <w:lang w:val="ru-RU"/>
              </w:rPr>
              <w:t xml:space="preserve"> </w:t>
            </w:r>
            <w:r w:rsidR="007A11D8">
              <w:rPr>
                <w:vertAlign w:val="superscript"/>
                <w:lang w:val="ru-RU"/>
              </w:rPr>
              <w:t>1</w:t>
            </w:r>
            <w:r w:rsidR="007A11D8">
              <w:rPr>
                <w:lang w:val="ru-RU"/>
              </w:rPr>
              <w:t xml:space="preserve"> </w:t>
            </w:r>
            <w:r w:rsidRPr="0001045D">
              <w:t>+</w:t>
            </w:r>
            <w:r w:rsidR="007A11D8">
              <w:rPr>
                <w:lang w:val="ru-RU"/>
              </w:rPr>
              <w:t xml:space="preserve"> </w:t>
            </w:r>
            <w:proofErr w:type="spellStart"/>
            <w:r w:rsidRPr="0001045D">
              <w:t>NiO</w:t>
            </w:r>
            <w:proofErr w:type="spellEnd"/>
            <w:r w:rsidR="007A11D8">
              <w:rPr>
                <w:lang w:val="ru-RU"/>
              </w:rPr>
              <w:t xml:space="preserve"> </w:t>
            </w:r>
            <w:r w:rsidR="007A11D8">
              <w:rPr>
                <w:vertAlign w:val="superscript"/>
                <w:lang w:val="ru-RU"/>
              </w:rPr>
              <w:t>2</w:t>
            </w:r>
          </w:p>
        </w:tc>
        <w:tc>
          <w:tcPr>
            <w:tcW w:w="1701" w:type="dxa"/>
            <w:shd w:val="clear" w:color="auto" w:fill="auto"/>
            <w:vAlign w:val="center"/>
          </w:tcPr>
          <w:p w:rsidR="0001045D" w:rsidRPr="0001045D" w:rsidRDefault="0001045D" w:rsidP="004936C5">
            <w:pPr>
              <w:pStyle w:val="MDPI42tablebody"/>
              <w:spacing w:line="240" w:lineRule="auto"/>
            </w:pPr>
            <w:r w:rsidRPr="0001045D">
              <w:t>100×34×0.56</w:t>
            </w:r>
          </w:p>
        </w:tc>
        <w:tc>
          <w:tcPr>
            <w:tcW w:w="1560" w:type="dxa"/>
          </w:tcPr>
          <w:p w:rsidR="0001045D" w:rsidRPr="00F220D4" w:rsidRDefault="0001045D" w:rsidP="004936C5">
            <w:pPr>
              <w:pStyle w:val="MDPI42tablebody"/>
              <w:spacing w:line="240" w:lineRule="auto"/>
            </w:pPr>
            <w:r w:rsidRPr="0001045D">
              <w:t>0.25</w:t>
            </w:r>
          </w:p>
        </w:tc>
        <w:tc>
          <w:tcPr>
            <w:tcW w:w="1559" w:type="dxa"/>
          </w:tcPr>
          <w:p w:rsidR="0001045D" w:rsidRPr="0001045D" w:rsidRDefault="0001045D" w:rsidP="004936C5">
            <w:pPr>
              <w:pStyle w:val="MDPI42tablebody"/>
              <w:spacing w:line="240" w:lineRule="auto"/>
              <w:rPr>
                <w:lang w:val="ru-RU"/>
              </w:rPr>
            </w:pPr>
            <w:r>
              <w:rPr>
                <w:lang w:val="ru-RU"/>
              </w:rPr>
              <w:t>2</w:t>
            </w:r>
          </w:p>
        </w:tc>
      </w:tr>
      <w:tr w:rsidR="0001045D" w:rsidRPr="00AD6DF9" w:rsidTr="007A11D8">
        <w:tc>
          <w:tcPr>
            <w:tcW w:w="3969" w:type="dxa"/>
            <w:shd w:val="clear" w:color="auto" w:fill="auto"/>
            <w:vAlign w:val="center"/>
          </w:tcPr>
          <w:p w:rsidR="0001045D" w:rsidRPr="0001045D" w:rsidRDefault="0001045D" w:rsidP="004936C5">
            <w:pPr>
              <w:pStyle w:val="MDPI42tablebody"/>
              <w:spacing w:line="240" w:lineRule="auto"/>
            </w:pPr>
            <w:r w:rsidRPr="0001045D">
              <w:t>Cathode</w:t>
            </w:r>
          </w:p>
        </w:tc>
        <w:tc>
          <w:tcPr>
            <w:tcW w:w="1701" w:type="dxa"/>
            <w:shd w:val="clear" w:color="auto" w:fill="auto"/>
            <w:vAlign w:val="center"/>
          </w:tcPr>
          <w:p w:rsidR="0001045D" w:rsidRPr="007A11D8" w:rsidRDefault="0001045D" w:rsidP="004936C5">
            <w:pPr>
              <w:pStyle w:val="MDPI42tablebody"/>
              <w:spacing w:line="240" w:lineRule="auto"/>
              <w:rPr>
                <w:vertAlign w:val="superscript"/>
                <w:lang w:val="ru-RU"/>
              </w:rPr>
            </w:pPr>
            <w:r w:rsidRPr="0001045D">
              <w:t>LSCF</w:t>
            </w:r>
            <w:r w:rsidR="007A11D8">
              <w:rPr>
                <w:lang w:val="ru-RU"/>
              </w:rPr>
              <w:t xml:space="preserve"> </w:t>
            </w:r>
            <w:r w:rsidR="007A11D8">
              <w:rPr>
                <w:vertAlign w:val="superscript"/>
                <w:lang w:val="ru-RU"/>
              </w:rPr>
              <w:t xml:space="preserve">3 </w:t>
            </w:r>
            <w:r w:rsidRPr="0001045D">
              <w:t>+</w:t>
            </w:r>
            <w:r w:rsidR="007A11D8">
              <w:rPr>
                <w:lang w:val="ru-RU"/>
              </w:rPr>
              <w:t xml:space="preserve"> </w:t>
            </w:r>
            <w:r w:rsidRPr="0001045D">
              <w:t>GDC</w:t>
            </w:r>
            <w:r w:rsidR="007A11D8">
              <w:rPr>
                <w:lang w:val="ru-RU"/>
              </w:rPr>
              <w:t xml:space="preserve"> </w:t>
            </w:r>
            <w:r w:rsidR="007A11D8">
              <w:rPr>
                <w:vertAlign w:val="superscript"/>
                <w:lang w:val="ru-RU"/>
              </w:rPr>
              <w:t>4</w:t>
            </w:r>
          </w:p>
        </w:tc>
        <w:tc>
          <w:tcPr>
            <w:tcW w:w="1701" w:type="dxa"/>
            <w:shd w:val="clear" w:color="auto" w:fill="auto"/>
            <w:vAlign w:val="center"/>
          </w:tcPr>
          <w:p w:rsidR="0001045D" w:rsidRPr="0001045D" w:rsidRDefault="0001045D" w:rsidP="004936C5">
            <w:pPr>
              <w:pStyle w:val="MDPI42tablebody"/>
              <w:spacing w:line="240" w:lineRule="auto"/>
            </w:pPr>
            <w:r w:rsidRPr="0001045D">
              <w:t>100×34×0.04</w:t>
            </w:r>
          </w:p>
        </w:tc>
        <w:tc>
          <w:tcPr>
            <w:tcW w:w="1560" w:type="dxa"/>
          </w:tcPr>
          <w:p w:rsidR="0001045D" w:rsidRPr="00F220D4" w:rsidRDefault="0001045D" w:rsidP="004936C5">
            <w:pPr>
              <w:pStyle w:val="MDPI42tablebody"/>
              <w:spacing w:line="240" w:lineRule="auto"/>
            </w:pPr>
            <w:r w:rsidRPr="0001045D">
              <w:t>0.35</w:t>
            </w:r>
          </w:p>
        </w:tc>
        <w:tc>
          <w:tcPr>
            <w:tcW w:w="1559" w:type="dxa"/>
          </w:tcPr>
          <w:p w:rsidR="0001045D" w:rsidRPr="0001045D" w:rsidRDefault="0001045D" w:rsidP="004936C5">
            <w:pPr>
              <w:pStyle w:val="MDPI42tablebody"/>
              <w:spacing w:line="240" w:lineRule="auto"/>
              <w:rPr>
                <w:lang w:val="ru-RU"/>
              </w:rPr>
            </w:pPr>
            <w:r>
              <w:rPr>
                <w:lang w:val="ru-RU"/>
              </w:rPr>
              <w:t>2</w:t>
            </w:r>
          </w:p>
        </w:tc>
      </w:tr>
      <w:tr w:rsidR="0001045D" w:rsidRPr="00AD6DF9" w:rsidTr="007A11D8">
        <w:tc>
          <w:tcPr>
            <w:tcW w:w="3969" w:type="dxa"/>
            <w:shd w:val="clear" w:color="auto" w:fill="auto"/>
            <w:vAlign w:val="center"/>
          </w:tcPr>
          <w:p w:rsidR="0001045D" w:rsidRPr="0001045D" w:rsidRDefault="0001045D" w:rsidP="004936C5">
            <w:pPr>
              <w:pStyle w:val="MDPI42tablebody"/>
              <w:spacing w:line="240" w:lineRule="auto"/>
            </w:pPr>
            <w:r w:rsidRPr="0001045D">
              <w:t>Anode current collector</w:t>
            </w:r>
          </w:p>
        </w:tc>
        <w:tc>
          <w:tcPr>
            <w:tcW w:w="1701" w:type="dxa"/>
            <w:shd w:val="clear" w:color="auto" w:fill="auto"/>
            <w:vAlign w:val="center"/>
          </w:tcPr>
          <w:p w:rsidR="0001045D" w:rsidRPr="0001045D" w:rsidRDefault="0001045D" w:rsidP="004936C5">
            <w:pPr>
              <w:pStyle w:val="MDPI42tablebody"/>
              <w:spacing w:line="240" w:lineRule="auto"/>
            </w:pPr>
            <w:r w:rsidRPr="0001045D">
              <w:t>steel</w:t>
            </w:r>
          </w:p>
        </w:tc>
        <w:tc>
          <w:tcPr>
            <w:tcW w:w="1701" w:type="dxa"/>
            <w:shd w:val="clear" w:color="auto" w:fill="auto"/>
            <w:vAlign w:val="center"/>
          </w:tcPr>
          <w:p w:rsidR="0001045D" w:rsidRPr="0001045D" w:rsidRDefault="0001045D" w:rsidP="004936C5">
            <w:pPr>
              <w:pStyle w:val="MDPI42tablebody"/>
              <w:spacing w:line="240" w:lineRule="auto"/>
            </w:pPr>
            <w:r w:rsidRPr="0001045D">
              <w:t>100×34×1.6</w:t>
            </w:r>
          </w:p>
        </w:tc>
        <w:tc>
          <w:tcPr>
            <w:tcW w:w="1560" w:type="dxa"/>
          </w:tcPr>
          <w:p w:rsidR="0001045D" w:rsidRPr="00F220D4" w:rsidRDefault="0001045D" w:rsidP="004936C5">
            <w:pPr>
              <w:pStyle w:val="MDPI42tablebody"/>
              <w:spacing w:line="240" w:lineRule="auto"/>
            </w:pPr>
          </w:p>
        </w:tc>
        <w:tc>
          <w:tcPr>
            <w:tcW w:w="1559" w:type="dxa"/>
          </w:tcPr>
          <w:p w:rsidR="0001045D" w:rsidRPr="00F220D4" w:rsidRDefault="0001045D" w:rsidP="004936C5">
            <w:pPr>
              <w:pStyle w:val="MDPI42tablebody"/>
              <w:spacing w:line="240" w:lineRule="auto"/>
            </w:pPr>
          </w:p>
        </w:tc>
      </w:tr>
      <w:tr w:rsidR="0001045D" w:rsidRPr="00AD6DF9" w:rsidTr="007A11D8">
        <w:tc>
          <w:tcPr>
            <w:tcW w:w="3969" w:type="dxa"/>
            <w:shd w:val="clear" w:color="auto" w:fill="auto"/>
            <w:vAlign w:val="center"/>
          </w:tcPr>
          <w:p w:rsidR="0001045D" w:rsidRPr="0001045D" w:rsidRDefault="0001045D" w:rsidP="004936C5">
            <w:pPr>
              <w:pStyle w:val="MDPI42tablebody"/>
              <w:spacing w:line="240" w:lineRule="auto"/>
            </w:pPr>
            <w:r w:rsidRPr="0001045D">
              <w:t>Cathode current collector</w:t>
            </w:r>
          </w:p>
        </w:tc>
        <w:tc>
          <w:tcPr>
            <w:tcW w:w="1701" w:type="dxa"/>
            <w:shd w:val="clear" w:color="auto" w:fill="auto"/>
            <w:vAlign w:val="center"/>
          </w:tcPr>
          <w:p w:rsidR="0001045D" w:rsidRPr="0001045D" w:rsidRDefault="0001045D" w:rsidP="004936C5">
            <w:pPr>
              <w:pStyle w:val="MDPI42tablebody"/>
              <w:spacing w:line="240" w:lineRule="auto"/>
            </w:pPr>
            <w:r w:rsidRPr="0001045D">
              <w:t>steel</w:t>
            </w:r>
          </w:p>
        </w:tc>
        <w:tc>
          <w:tcPr>
            <w:tcW w:w="1701" w:type="dxa"/>
            <w:shd w:val="clear" w:color="auto" w:fill="auto"/>
            <w:vAlign w:val="center"/>
          </w:tcPr>
          <w:p w:rsidR="0001045D" w:rsidRPr="0001045D" w:rsidRDefault="0001045D" w:rsidP="004936C5">
            <w:pPr>
              <w:pStyle w:val="MDPI42tablebody"/>
              <w:spacing w:line="240" w:lineRule="auto"/>
            </w:pPr>
            <w:r w:rsidRPr="0001045D">
              <w:t>100×34×1.6</w:t>
            </w:r>
          </w:p>
        </w:tc>
        <w:tc>
          <w:tcPr>
            <w:tcW w:w="1560" w:type="dxa"/>
          </w:tcPr>
          <w:p w:rsidR="0001045D" w:rsidRPr="00F220D4" w:rsidRDefault="0001045D" w:rsidP="004936C5">
            <w:pPr>
              <w:pStyle w:val="MDPI42tablebody"/>
              <w:spacing w:line="240" w:lineRule="auto"/>
            </w:pPr>
          </w:p>
        </w:tc>
        <w:tc>
          <w:tcPr>
            <w:tcW w:w="1559" w:type="dxa"/>
          </w:tcPr>
          <w:p w:rsidR="0001045D" w:rsidRPr="00F220D4" w:rsidRDefault="0001045D" w:rsidP="004936C5">
            <w:pPr>
              <w:pStyle w:val="MDPI42tablebody"/>
              <w:spacing w:line="240" w:lineRule="auto"/>
            </w:pPr>
          </w:p>
        </w:tc>
      </w:tr>
      <w:tr w:rsidR="0001045D" w:rsidRPr="00AD6DF9" w:rsidTr="007A11D8">
        <w:tc>
          <w:tcPr>
            <w:tcW w:w="3969" w:type="dxa"/>
            <w:shd w:val="clear" w:color="auto" w:fill="auto"/>
            <w:vAlign w:val="center"/>
          </w:tcPr>
          <w:p w:rsidR="0001045D" w:rsidRPr="0001045D" w:rsidRDefault="0001045D" w:rsidP="004936C5">
            <w:pPr>
              <w:pStyle w:val="MDPI42tablebody"/>
              <w:spacing w:line="240" w:lineRule="auto"/>
            </w:pPr>
            <w:r w:rsidRPr="0001045D">
              <w:t>Electrolyte</w:t>
            </w:r>
          </w:p>
        </w:tc>
        <w:tc>
          <w:tcPr>
            <w:tcW w:w="1701" w:type="dxa"/>
            <w:shd w:val="clear" w:color="auto" w:fill="auto"/>
            <w:vAlign w:val="center"/>
          </w:tcPr>
          <w:p w:rsidR="0001045D" w:rsidRPr="0001045D" w:rsidRDefault="0001045D" w:rsidP="004936C5">
            <w:pPr>
              <w:pStyle w:val="MDPI42tablebody"/>
              <w:spacing w:line="240" w:lineRule="auto"/>
            </w:pPr>
            <w:r w:rsidRPr="0001045D">
              <w:t>8YSZ</w:t>
            </w:r>
          </w:p>
        </w:tc>
        <w:tc>
          <w:tcPr>
            <w:tcW w:w="1701" w:type="dxa"/>
            <w:shd w:val="clear" w:color="auto" w:fill="auto"/>
            <w:vAlign w:val="center"/>
          </w:tcPr>
          <w:p w:rsidR="0001045D" w:rsidRPr="0001045D" w:rsidRDefault="0001045D" w:rsidP="004936C5">
            <w:pPr>
              <w:pStyle w:val="MDPI42tablebody"/>
              <w:spacing w:line="240" w:lineRule="auto"/>
            </w:pPr>
            <w:r w:rsidRPr="0001045D">
              <w:t>100×34×0.02</w:t>
            </w:r>
          </w:p>
        </w:tc>
        <w:tc>
          <w:tcPr>
            <w:tcW w:w="1560" w:type="dxa"/>
          </w:tcPr>
          <w:p w:rsidR="0001045D" w:rsidRPr="00F220D4" w:rsidRDefault="0001045D" w:rsidP="004936C5">
            <w:pPr>
              <w:pStyle w:val="MDPI42tablebody"/>
              <w:spacing w:line="240" w:lineRule="auto"/>
            </w:pPr>
          </w:p>
        </w:tc>
        <w:tc>
          <w:tcPr>
            <w:tcW w:w="1559" w:type="dxa"/>
          </w:tcPr>
          <w:p w:rsidR="0001045D" w:rsidRPr="00F220D4" w:rsidRDefault="0001045D" w:rsidP="004936C5">
            <w:pPr>
              <w:pStyle w:val="MDPI42tablebody"/>
              <w:spacing w:line="240" w:lineRule="auto"/>
            </w:pPr>
          </w:p>
        </w:tc>
      </w:tr>
    </w:tbl>
    <w:p w:rsidR="007A11D8" w:rsidRDefault="007A11D8" w:rsidP="007A11D8">
      <w:pPr>
        <w:pStyle w:val="MDPI43tablefooter"/>
      </w:pPr>
      <w:r w:rsidRPr="00325902">
        <w:rPr>
          <w:vertAlign w:val="superscript"/>
        </w:rPr>
        <w:t>1</w:t>
      </w:r>
      <w:r w:rsidRPr="00325902">
        <w:t xml:space="preserve"> </w:t>
      </w:r>
      <w:r>
        <w:t>YSZ – Yttria-stabilized zirconia</w:t>
      </w:r>
    </w:p>
    <w:p w:rsidR="007A11D8" w:rsidRDefault="007A11D8" w:rsidP="007A11D8">
      <w:pPr>
        <w:pStyle w:val="MDPI43tablefooter"/>
      </w:pPr>
      <w:r w:rsidRPr="007A11D8">
        <w:rPr>
          <w:vertAlign w:val="superscript"/>
        </w:rPr>
        <w:t>2</w:t>
      </w:r>
      <w:r w:rsidRPr="007A11D8">
        <w:t xml:space="preserve"> </w:t>
      </w:r>
      <w:proofErr w:type="spellStart"/>
      <w:r>
        <w:t>NiO</w:t>
      </w:r>
      <w:proofErr w:type="spellEnd"/>
      <w:r>
        <w:t xml:space="preserve"> – Nickel </w:t>
      </w:r>
      <w:proofErr w:type="spellStart"/>
      <w:r>
        <w:t>oxide</w:t>
      </w:r>
      <w:r w:rsidRPr="00325902">
        <w:t>Tables</w:t>
      </w:r>
      <w:proofErr w:type="spellEnd"/>
      <w:r w:rsidRPr="00325902">
        <w:t xml:space="preserve"> may have a footer.</w:t>
      </w:r>
    </w:p>
    <w:p w:rsidR="007A11D8" w:rsidRDefault="007A11D8" w:rsidP="007A11D8">
      <w:pPr>
        <w:pStyle w:val="MDPI43tablefooter"/>
      </w:pPr>
      <w:r w:rsidRPr="007A11D8">
        <w:rPr>
          <w:vertAlign w:val="superscript"/>
        </w:rPr>
        <w:t>3</w:t>
      </w:r>
      <w:r w:rsidRPr="007A11D8">
        <w:t xml:space="preserve"> </w:t>
      </w:r>
      <w:r>
        <w:t>LSCF – Lanthanum strontium cobalt ferrite</w:t>
      </w:r>
    </w:p>
    <w:p w:rsidR="007A11D8" w:rsidRDefault="007A11D8" w:rsidP="007A11D8">
      <w:pPr>
        <w:pStyle w:val="MDPI43tablefooter"/>
      </w:pPr>
      <w:r w:rsidRPr="007A11D8">
        <w:rPr>
          <w:vertAlign w:val="superscript"/>
        </w:rPr>
        <w:t>4</w:t>
      </w:r>
      <w:r w:rsidRPr="007A11D8">
        <w:t xml:space="preserve"> </w:t>
      </w:r>
      <w:r>
        <w:t>GDC – Gadolinium doped ceria</w:t>
      </w:r>
    </w:p>
    <w:p w:rsidR="007A11D8" w:rsidRDefault="007A11D8" w:rsidP="00B813FD">
      <w:pPr>
        <w:pStyle w:val="MDPI31text"/>
        <w:rPr>
          <w:lang w:eastAsia="en-US"/>
        </w:rPr>
      </w:pPr>
      <w:r w:rsidRPr="007A11D8">
        <w:rPr>
          <w:lang w:eastAsia="en-US"/>
        </w:rPr>
        <w:t>Input parameters and composition of the simulated gas flows are presented in Table 3. Hydrogen, methane and synthesis gas were used as fuel. The composition of the synthesis gas, which was obtained from the gas waste of oil refining by steam reforming, was modeled in the Ansys Fluent 2021 software package at a temperature of 873 K and a pressure of 10 bar on a nickel catalyst.</w:t>
      </w:r>
    </w:p>
    <w:p w:rsidR="00740E3E" w:rsidRDefault="007A11D8" w:rsidP="00B813FD">
      <w:pPr>
        <w:pStyle w:val="MDPI41tablecaption"/>
      </w:pPr>
      <w:r>
        <w:rPr>
          <w:b/>
        </w:rPr>
        <w:t xml:space="preserve">Table </w:t>
      </w:r>
      <w:r w:rsidRPr="007A11D8">
        <w:rPr>
          <w:b/>
        </w:rPr>
        <w:t>3</w:t>
      </w:r>
      <w:r w:rsidRPr="00325902">
        <w:rPr>
          <w:b/>
        </w:rPr>
        <w:t>.</w:t>
      </w:r>
      <w:r w:rsidRPr="00325902">
        <w:t xml:space="preserve"> </w:t>
      </w:r>
      <w:r w:rsidRPr="007A11D8">
        <w:t>Fuel cell inlet gas flow characteristics</w:t>
      </w:r>
    </w:p>
    <w:tbl>
      <w:tblPr>
        <w:tblW w:w="10490"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3969"/>
        <w:gridCol w:w="1701"/>
        <w:gridCol w:w="1843"/>
        <w:gridCol w:w="2977"/>
      </w:tblGrid>
      <w:tr w:rsidR="00A95D50" w:rsidRPr="00AD6DF9" w:rsidTr="00A95D50">
        <w:tc>
          <w:tcPr>
            <w:tcW w:w="3969" w:type="dxa"/>
            <w:tcBorders>
              <w:bottom w:val="single" w:sz="4" w:space="0" w:color="auto"/>
            </w:tcBorders>
            <w:shd w:val="clear" w:color="auto" w:fill="auto"/>
            <w:vAlign w:val="center"/>
          </w:tcPr>
          <w:p w:rsidR="00A95D50" w:rsidRPr="007F7C8C" w:rsidRDefault="00A95D50" w:rsidP="004936C5">
            <w:pPr>
              <w:pStyle w:val="MDPI42tablebody"/>
              <w:spacing w:line="240" w:lineRule="auto"/>
              <w:rPr>
                <w:b/>
                <w:snapToGrid/>
              </w:rPr>
            </w:pPr>
            <w:r w:rsidRPr="00740E3E">
              <w:rPr>
                <w:b/>
                <w:bCs/>
              </w:rPr>
              <w:t>Parameter</w:t>
            </w:r>
          </w:p>
        </w:tc>
        <w:tc>
          <w:tcPr>
            <w:tcW w:w="1701" w:type="dxa"/>
            <w:tcBorders>
              <w:bottom w:val="single" w:sz="4" w:space="0" w:color="auto"/>
            </w:tcBorders>
            <w:shd w:val="clear" w:color="auto" w:fill="auto"/>
            <w:vAlign w:val="center"/>
          </w:tcPr>
          <w:p w:rsidR="00A95D50" w:rsidRPr="007F7C8C" w:rsidRDefault="00A95D50" w:rsidP="004936C5">
            <w:pPr>
              <w:pStyle w:val="MDPI42tablebody"/>
              <w:spacing w:line="240" w:lineRule="auto"/>
              <w:rPr>
                <w:b/>
                <w:snapToGrid/>
              </w:rPr>
            </w:pPr>
            <w:r w:rsidRPr="00A95D50">
              <w:rPr>
                <w:b/>
                <w:snapToGrid/>
              </w:rPr>
              <w:t>Hydrogen</w:t>
            </w:r>
          </w:p>
        </w:tc>
        <w:tc>
          <w:tcPr>
            <w:tcW w:w="1843" w:type="dxa"/>
            <w:tcBorders>
              <w:bottom w:val="single" w:sz="4" w:space="0" w:color="auto"/>
            </w:tcBorders>
            <w:shd w:val="clear" w:color="auto" w:fill="auto"/>
            <w:vAlign w:val="center"/>
          </w:tcPr>
          <w:p w:rsidR="00A95D50" w:rsidRPr="007F7C8C" w:rsidRDefault="00A95D50" w:rsidP="004936C5">
            <w:pPr>
              <w:pStyle w:val="MDPI42tablebody"/>
              <w:spacing w:line="240" w:lineRule="auto"/>
              <w:rPr>
                <w:b/>
                <w:snapToGrid/>
              </w:rPr>
            </w:pPr>
            <w:r w:rsidRPr="00A95D50">
              <w:rPr>
                <w:b/>
                <w:snapToGrid/>
              </w:rPr>
              <w:t>Methane</w:t>
            </w:r>
          </w:p>
        </w:tc>
        <w:tc>
          <w:tcPr>
            <w:tcW w:w="2977" w:type="dxa"/>
            <w:tcBorders>
              <w:bottom w:val="single" w:sz="4" w:space="0" w:color="auto"/>
            </w:tcBorders>
            <w:vAlign w:val="center"/>
          </w:tcPr>
          <w:p w:rsidR="00A95D50" w:rsidRPr="007F7C8C" w:rsidRDefault="00A95D50" w:rsidP="004936C5">
            <w:pPr>
              <w:pStyle w:val="MDPI42tablebody"/>
              <w:spacing w:line="240" w:lineRule="auto"/>
              <w:rPr>
                <w:b/>
                <w:snapToGrid/>
              </w:rPr>
            </w:pPr>
            <w:r w:rsidRPr="00A95D50">
              <w:rPr>
                <w:b/>
                <w:snapToGrid/>
              </w:rPr>
              <w:t>Synthesis gas</w:t>
            </w:r>
          </w:p>
        </w:tc>
      </w:tr>
      <w:tr w:rsidR="00A95D50" w:rsidRPr="00AD6DF9" w:rsidTr="002B6C21">
        <w:tc>
          <w:tcPr>
            <w:tcW w:w="3969" w:type="dxa"/>
            <w:shd w:val="clear" w:color="auto" w:fill="auto"/>
            <w:vAlign w:val="center"/>
          </w:tcPr>
          <w:p w:rsidR="00A95D50" w:rsidRPr="00F220D4" w:rsidRDefault="00A95D50" w:rsidP="004936C5">
            <w:pPr>
              <w:pStyle w:val="MDPI42tablebody"/>
              <w:spacing w:line="240" w:lineRule="auto"/>
            </w:pPr>
            <w:r w:rsidRPr="00740E3E">
              <w:t>Mass flow at the anode, kg/s</w:t>
            </w:r>
          </w:p>
        </w:tc>
        <w:tc>
          <w:tcPr>
            <w:tcW w:w="6521" w:type="dxa"/>
            <w:gridSpan w:val="3"/>
            <w:shd w:val="clear" w:color="auto" w:fill="auto"/>
            <w:vAlign w:val="center"/>
          </w:tcPr>
          <w:p w:rsidR="00A95D50" w:rsidRPr="00A95D50" w:rsidRDefault="00A95D50" w:rsidP="004936C5">
            <w:pPr>
              <w:pStyle w:val="MDPI42tablebody"/>
              <w:spacing w:line="240" w:lineRule="auto"/>
              <w:rPr>
                <w:vertAlign w:val="superscript"/>
                <w:lang w:val="ru-RU"/>
              </w:rPr>
            </w:pPr>
            <w:r w:rsidRPr="00A95D50">
              <w:t>5·10</w:t>
            </w:r>
            <w:r>
              <w:rPr>
                <w:vertAlign w:val="superscript"/>
                <w:lang w:val="ru-RU"/>
              </w:rPr>
              <w:t>-9</w:t>
            </w:r>
          </w:p>
        </w:tc>
      </w:tr>
      <w:tr w:rsidR="00A95D50" w:rsidRPr="00AD6DF9" w:rsidTr="000022D2">
        <w:tc>
          <w:tcPr>
            <w:tcW w:w="3969" w:type="dxa"/>
            <w:shd w:val="clear" w:color="auto" w:fill="auto"/>
            <w:vAlign w:val="center"/>
          </w:tcPr>
          <w:p w:rsidR="00A95D50" w:rsidRPr="00F220D4" w:rsidRDefault="00A95D50" w:rsidP="004936C5">
            <w:pPr>
              <w:pStyle w:val="MDPI42tablebody"/>
              <w:spacing w:line="240" w:lineRule="auto"/>
            </w:pPr>
            <w:r w:rsidRPr="00740E3E">
              <w:t>Mass flow at the cathode, kg/s</w:t>
            </w:r>
          </w:p>
        </w:tc>
        <w:tc>
          <w:tcPr>
            <w:tcW w:w="6521" w:type="dxa"/>
            <w:gridSpan w:val="3"/>
            <w:shd w:val="clear" w:color="auto" w:fill="auto"/>
            <w:vAlign w:val="center"/>
          </w:tcPr>
          <w:p w:rsidR="00A95D50" w:rsidRPr="00A95D50" w:rsidRDefault="00A95D50" w:rsidP="004936C5">
            <w:pPr>
              <w:pStyle w:val="MDPI42tablebody"/>
              <w:spacing w:line="240" w:lineRule="auto"/>
              <w:rPr>
                <w:vertAlign w:val="superscript"/>
                <w:lang w:val="ru-RU"/>
              </w:rPr>
            </w:pPr>
            <w:r w:rsidRPr="00A95D50">
              <w:t>7·10</w:t>
            </w:r>
            <w:r>
              <w:rPr>
                <w:vertAlign w:val="superscript"/>
                <w:lang w:val="ru-RU"/>
              </w:rPr>
              <w:t>-7</w:t>
            </w:r>
          </w:p>
        </w:tc>
      </w:tr>
      <w:tr w:rsidR="00A95D50" w:rsidRPr="00AD6DF9" w:rsidTr="00652124">
        <w:tc>
          <w:tcPr>
            <w:tcW w:w="3969" w:type="dxa"/>
            <w:shd w:val="clear" w:color="auto" w:fill="auto"/>
            <w:vAlign w:val="center"/>
          </w:tcPr>
          <w:p w:rsidR="00A95D50" w:rsidRPr="0001045D" w:rsidRDefault="00A95D50" w:rsidP="004936C5">
            <w:pPr>
              <w:pStyle w:val="MDPI42tablebody"/>
              <w:spacing w:line="240" w:lineRule="auto"/>
            </w:pPr>
            <w:r w:rsidRPr="00740E3E">
              <w:t>Inlet temperature at the SOFC, K</w:t>
            </w:r>
          </w:p>
        </w:tc>
        <w:tc>
          <w:tcPr>
            <w:tcW w:w="6521" w:type="dxa"/>
            <w:gridSpan w:val="3"/>
            <w:shd w:val="clear" w:color="auto" w:fill="auto"/>
            <w:vAlign w:val="center"/>
          </w:tcPr>
          <w:p w:rsidR="00A95D50" w:rsidRPr="0001045D" w:rsidRDefault="00A95D50" w:rsidP="004936C5">
            <w:pPr>
              <w:pStyle w:val="MDPI42tablebody"/>
              <w:spacing w:line="240" w:lineRule="auto"/>
              <w:rPr>
                <w:lang w:val="ru-RU"/>
              </w:rPr>
            </w:pPr>
            <w:r w:rsidRPr="00A95D50">
              <w:t>1123</w:t>
            </w:r>
          </w:p>
        </w:tc>
      </w:tr>
      <w:tr w:rsidR="00A95D50" w:rsidRPr="003004BE" w:rsidTr="00A95D50">
        <w:tc>
          <w:tcPr>
            <w:tcW w:w="3969" w:type="dxa"/>
            <w:shd w:val="clear" w:color="auto" w:fill="auto"/>
            <w:vAlign w:val="center"/>
          </w:tcPr>
          <w:p w:rsidR="00A95D50" w:rsidRPr="0001045D" w:rsidRDefault="00A95D50" w:rsidP="004936C5">
            <w:pPr>
              <w:pStyle w:val="MDPI42tablebody"/>
              <w:spacing w:line="240" w:lineRule="auto"/>
            </w:pPr>
            <w:r w:rsidRPr="00740E3E">
              <w:t>Mass composition of the anode input flow, %</w:t>
            </w:r>
          </w:p>
        </w:tc>
        <w:tc>
          <w:tcPr>
            <w:tcW w:w="1701" w:type="dxa"/>
            <w:shd w:val="clear" w:color="auto" w:fill="auto"/>
            <w:vAlign w:val="center"/>
          </w:tcPr>
          <w:p w:rsidR="00A95D50" w:rsidRPr="007A11D8" w:rsidRDefault="00A95D50" w:rsidP="004936C5">
            <w:pPr>
              <w:pStyle w:val="MDPI42tablebody"/>
              <w:spacing w:line="240" w:lineRule="auto"/>
              <w:rPr>
                <w:vertAlign w:val="superscript"/>
                <w:lang w:val="ru-RU"/>
              </w:rPr>
            </w:pPr>
            <w:r w:rsidRPr="00A95D50">
              <w:t>97 Н</w:t>
            </w:r>
            <w:r w:rsidRPr="00A95D50">
              <w:rPr>
                <w:vertAlign w:val="subscript"/>
              </w:rPr>
              <w:t>2</w:t>
            </w:r>
            <w:r w:rsidRPr="00A95D50">
              <w:t>/ 3 Н2О</w:t>
            </w:r>
          </w:p>
        </w:tc>
        <w:tc>
          <w:tcPr>
            <w:tcW w:w="1843" w:type="dxa"/>
            <w:shd w:val="clear" w:color="auto" w:fill="auto"/>
            <w:vAlign w:val="center"/>
          </w:tcPr>
          <w:p w:rsidR="00A95D50" w:rsidRPr="0001045D" w:rsidRDefault="00A95D50" w:rsidP="004936C5">
            <w:pPr>
              <w:pStyle w:val="MDPI42tablebody"/>
              <w:spacing w:line="240" w:lineRule="auto"/>
            </w:pPr>
            <w:r w:rsidRPr="00A95D50">
              <w:t>40% СН</w:t>
            </w:r>
            <w:r w:rsidRPr="00A95D50">
              <w:rPr>
                <w:vertAlign w:val="subscript"/>
              </w:rPr>
              <w:t xml:space="preserve">4 </w:t>
            </w:r>
            <w:r w:rsidRPr="00A95D50">
              <w:t>/ 60% Н</w:t>
            </w:r>
            <w:r w:rsidRPr="00A95D50">
              <w:rPr>
                <w:vertAlign w:val="subscript"/>
              </w:rPr>
              <w:t>2</w:t>
            </w:r>
            <w:r w:rsidRPr="00A95D50">
              <w:t>О</w:t>
            </w:r>
          </w:p>
        </w:tc>
        <w:tc>
          <w:tcPr>
            <w:tcW w:w="2977" w:type="dxa"/>
          </w:tcPr>
          <w:p w:rsidR="00A95D50" w:rsidRPr="00A95D50" w:rsidRDefault="00A95D50" w:rsidP="004936C5">
            <w:pPr>
              <w:pStyle w:val="MDPI42tablebody"/>
              <w:spacing w:line="240" w:lineRule="auto"/>
              <w:rPr>
                <w:lang w:val="ru-RU"/>
              </w:rPr>
            </w:pPr>
            <w:r w:rsidRPr="00A95D50">
              <w:rPr>
                <w:lang w:val="ru-RU"/>
              </w:rPr>
              <w:t>СН</w:t>
            </w:r>
            <w:r w:rsidRPr="00A95D50">
              <w:rPr>
                <w:vertAlign w:val="subscript"/>
                <w:lang w:val="ru-RU"/>
              </w:rPr>
              <w:t>4</w:t>
            </w:r>
            <w:r w:rsidRPr="00A95D50">
              <w:rPr>
                <w:lang w:val="ru-RU"/>
              </w:rPr>
              <w:t xml:space="preserve"> – 21%, Н</w:t>
            </w:r>
            <w:r w:rsidRPr="00A95D50">
              <w:rPr>
                <w:vertAlign w:val="subscript"/>
                <w:lang w:val="ru-RU"/>
              </w:rPr>
              <w:t>2</w:t>
            </w:r>
            <w:r w:rsidRPr="00A95D50">
              <w:rPr>
                <w:lang w:val="ru-RU"/>
              </w:rPr>
              <w:t>О – 10%, СО – 11%, Н</w:t>
            </w:r>
            <w:r w:rsidRPr="00A95D50">
              <w:rPr>
                <w:vertAlign w:val="subscript"/>
                <w:lang w:val="ru-RU"/>
              </w:rPr>
              <w:t xml:space="preserve">2 </w:t>
            </w:r>
            <w:r w:rsidRPr="00A95D50">
              <w:rPr>
                <w:lang w:val="ru-RU"/>
              </w:rPr>
              <w:t>– 46%, СО</w:t>
            </w:r>
            <w:r w:rsidRPr="00A95D50">
              <w:rPr>
                <w:vertAlign w:val="subscript"/>
                <w:lang w:val="ru-RU"/>
              </w:rPr>
              <w:t xml:space="preserve">2 </w:t>
            </w:r>
            <w:r w:rsidRPr="00A95D50">
              <w:rPr>
                <w:lang w:val="ru-RU"/>
              </w:rPr>
              <w:t xml:space="preserve">– 8%, </w:t>
            </w:r>
            <w:r w:rsidRPr="00A95D50">
              <w:t>N</w:t>
            </w:r>
            <w:r w:rsidRPr="00A95D50">
              <w:rPr>
                <w:vertAlign w:val="subscript"/>
                <w:lang w:val="ru-RU"/>
              </w:rPr>
              <w:t xml:space="preserve">2 </w:t>
            </w:r>
            <w:r w:rsidRPr="00A95D50">
              <w:rPr>
                <w:lang w:val="ru-RU"/>
              </w:rPr>
              <w:t>– 4%</w:t>
            </w:r>
          </w:p>
        </w:tc>
      </w:tr>
      <w:tr w:rsidR="003004BE" w:rsidRPr="00AD6DF9" w:rsidTr="000D3207">
        <w:tc>
          <w:tcPr>
            <w:tcW w:w="3969" w:type="dxa"/>
            <w:shd w:val="clear" w:color="auto" w:fill="auto"/>
            <w:vAlign w:val="center"/>
          </w:tcPr>
          <w:p w:rsidR="003004BE" w:rsidRPr="0001045D" w:rsidRDefault="003004BE" w:rsidP="004936C5">
            <w:pPr>
              <w:pStyle w:val="MDPI42tablebody"/>
              <w:spacing w:line="240" w:lineRule="auto"/>
            </w:pPr>
            <w:r w:rsidRPr="00A95D50">
              <w:t>Mass composition of the cathode input flow, %</w:t>
            </w:r>
          </w:p>
        </w:tc>
        <w:tc>
          <w:tcPr>
            <w:tcW w:w="6521" w:type="dxa"/>
            <w:gridSpan w:val="3"/>
            <w:shd w:val="clear" w:color="auto" w:fill="auto"/>
            <w:vAlign w:val="center"/>
          </w:tcPr>
          <w:p w:rsidR="003004BE" w:rsidRPr="00F220D4" w:rsidRDefault="003004BE" w:rsidP="00A95D50">
            <w:pPr>
              <w:pStyle w:val="MDPI42tablebody"/>
              <w:spacing w:line="240" w:lineRule="auto"/>
            </w:pPr>
            <w:r w:rsidRPr="00A95D50">
              <w:t>21 О</w:t>
            </w:r>
            <w:r w:rsidRPr="00A95D50">
              <w:rPr>
                <w:vertAlign w:val="subscript"/>
              </w:rPr>
              <w:t>2</w:t>
            </w:r>
            <w:r w:rsidRPr="00A95D50">
              <w:t>/ 79 N</w:t>
            </w:r>
            <w:r w:rsidRPr="00A95D50">
              <w:rPr>
                <w:vertAlign w:val="subscript"/>
              </w:rPr>
              <w:t>2</w:t>
            </w:r>
          </w:p>
        </w:tc>
      </w:tr>
    </w:tbl>
    <w:p w:rsidR="00740E3E" w:rsidRDefault="00740E3E" w:rsidP="007A11D8">
      <w:pPr>
        <w:pStyle w:val="MDPI31text"/>
        <w:rPr>
          <w:lang w:eastAsia="en-US"/>
        </w:rPr>
      </w:pPr>
    </w:p>
    <w:p w:rsidR="00740E3E" w:rsidRDefault="00740E3E" w:rsidP="007A11D8">
      <w:pPr>
        <w:pStyle w:val="MDPI31text"/>
        <w:rPr>
          <w:lang w:eastAsia="en-US"/>
        </w:rPr>
      </w:pPr>
    </w:p>
    <w:p w:rsidR="00A95D50" w:rsidRDefault="00A95D50" w:rsidP="00A95D50">
      <w:pPr>
        <w:pStyle w:val="MDPI31text"/>
        <w:rPr>
          <w:lang w:eastAsia="en-US"/>
        </w:rPr>
      </w:pPr>
      <w:r>
        <w:rPr>
          <w:lang w:eastAsia="en-US"/>
        </w:rPr>
        <w:t>A mesh with hexahedral cells was chosen for numerical calculations. The number of cells was 2.2 million. The mesh quality indicator was close to 1.</w:t>
      </w:r>
    </w:p>
    <w:p w:rsidR="00740E3E" w:rsidRDefault="00A95D50" w:rsidP="00196A9A">
      <w:pPr>
        <w:pStyle w:val="MDPI35textbeforelist"/>
      </w:pPr>
      <w:r>
        <w:t>The following assumptions and simplifications were used for calculations using the numerical model:</w:t>
      </w:r>
    </w:p>
    <w:p w:rsidR="00A95D50" w:rsidRDefault="00A95D50" w:rsidP="00196A9A">
      <w:pPr>
        <w:pStyle w:val="MDPI38bullet"/>
      </w:pPr>
      <w:r>
        <w:t>Atmospheric inlet pressure;</w:t>
      </w:r>
    </w:p>
    <w:p w:rsidR="00A95D50" w:rsidRDefault="00A95D50" w:rsidP="00196A9A">
      <w:pPr>
        <w:pStyle w:val="MDPI38bullet"/>
      </w:pPr>
      <w:r>
        <w:t>The flows are laminar;</w:t>
      </w:r>
    </w:p>
    <w:p w:rsidR="00A95D50" w:rsidRDefault="00A95D50" w:rsidP="00196A9A">
      <w:pPr>
        <w:pStyle w:val="MDPI38bullet"/>
      </w:pPr>
      <w:r>
        <w:t>For carbonaceous fuels, only steam reforming and carbon dioxide reforming are permitted;</w:t>
      </w:r>
    </w:p>
    <w:p w:rsidR="00A95D50" w:rsidRDefault="00A95D50" w:rsidP="00196A9A">
      <w:pPr>
        <w:pStyle w:val="MDPI38bullet"/>
      </w:pPr>
      <w:r>
        <w:t>The operating temperature range is 700 – 1000 °C;</w:t>
      </w:r>
    </w:p>
    <w:p w:rsidR="00A95D50" w:rsidRDefault="00A95D50" w:rsidP="00196A9A">
      <w:pPr>
        <w:pStyle w:val="MDPI38bullet"/>
      </w:pPr>
      <w:r>
        <w:t>The seal between structural elements is assumed to be ideal;</w:t>
      </w:r>
    </w:p>
    <w:p w:rsidR="00A95D50" w:rsidRDefault="00A95D50" w:rsidP="00196A9A">
      <w:pPr>
        <w:pStyle w:val="MDPI38bullet"/>
      </w:pPr>
      <w:r>
        <w:t>No leakage effect;</w:t>
      </w:r>
    </w:p>
    <w:p w:rsidR="00A95D50" w:rsidRDefault="00A95D50" w:rsidP="00196A9A">
      <w:pPr>
        <w:pStyle w:val="MDPI38bullet"/>
      </w:pPr>
      <w:r>
        <w:t>Heat loss to the environment is based on radiation only;</w:t>
      </w:r>
    </w:p>
    <w:p w:rsidR="00A95D50" w:rsidRDefault="00A95D50" w:rsidP="00196A9A">
      <w:pPr>
        <w:pStyle w:val="MDPI38bullet"/>
      </w:pPr>
      <w:r>
        <w:t>Joule heating is neglected;</w:t>
      </w:r>
    </w:p>
    <w:p w:rsidR="00A95D50" w:rsidRDefault="00A95D50" w:rsidP="00196A9A">
      <w:pPr>
        <w:pStyle w:val="MDPI38bullet"/>
      </w:pPr>
      <w:r>
        <w:lastRenderedPageBreak/>
        <w:t>The installation works in a stationary mode;</w:t>
      </w:r>
    </w:p>
    <w:p w:rsidR="00A95D50" w:rsidRDefault="00A95D50" w:rsidP="00196A9A">
      <w:pPr>
        <w:pStyle w:val="MDPI38bullet"/>
      </w:pPr>
      <w:r>
        <w:t>Chemical reactions occur in one stage.</w:t>
      </w:r>
    </w:p>
    <w:p w:rsidR="00A95D50" w:rsidRDefault="00A95D50" w:rsidP="00A95D50">
      <w:pPr>
        <w:pStyle w:val="MDPI31text"/>
        <w:rPr>
          <w:lang w:eastAsia="en-US"/>
        </w:rPr>
      </w:pPr>
      <w:r>
        <w:rPr>
          <w:lang w:eastAsia="en-US"/>
        </w:rPr>
        <w:t>The real processes in a fuel cell are a combination of matter transfer, heat transfer, electron transfer, and electrochemistry.</w:t>
      </w:r>
    </w:p>
    <w:p w:rsidR="00A95D50" w:rsidRDefault="00A95D50" w:rsidP="00A95D50">
      <w:pPr>
        <w:pStyle w:val="MDPI31text"/>
        <w:rPr>
          <w:lang w:eastAsia="en-US"/>
        </w:rPr>
      </w:pPr>
      <w:r>
        <w:rPr>
          <w:lang w:eastAsia="en-US"/>
        </w:rPr>
        <w:t>Velocity and pressure in stationary hydrodynamics do not depend on time and space. Therefore, for the distribution of velocity and pressure in the cell, the momentum conservation equations (Navier-Stokes equation) were used. Diffusion of chemicals in a laminar flow was modeled according to Fick's law.</w:t>
      </w:r>
    </w:p>
    <w:p w:rsidR="00A95D50" w:rsidRDefault="00A95D50" w:rsidP="00A95D50">
      <w:pPr>
        <w:pStyle w:val="MDPI31text"/>
        <w:rPr>
          <w:lang w:eastAsia="en-US"/>
        </w:rPr>
      </w:pPr>
      <w:r>
        <w:rPr>
          <w:lang w:eastAsia="en-US"/>
        </w:rPr>
        <w:t xml:space="preserve">When modeling gas flows, the laws of conservation of mass, momentum, and energy of incompressible laminar flows were used. For a finite volume </w:t>
      </w:r>
      <w:proofErr w:type="spellStart"/>
      <w:r>
        <w:rPr>
          <w:lang w:eastAsia="en-US"/>
        </w:rPr>
        <w:t>dV</w:t>
      </w:r>
      <w:proofErr w:type="spellEnd"/>
      <w:r>
        <w:rPr>
          <w:lang w:eastAsia="en-US"/>
        </w:rPr>
        <w:t xml:space="preserve">, the fundamental equations apply under stationary conditions </w:t>
      </w:r>
      <w:r>
        <w:rPr>
          <w:rFonts w:ascii="Cambria Math" w:hAnsi="Cambria Math" w:cs="Cambria Math"/>
          <w:lang w:eastAsia="en-US"/>
        </w:rPr>
        <w:t>𝜕</w:t>
      </w:r>
      <w:r>
        <w:rPr>
          <w:lang w:eastAsia="en-US"/>
        </w:rPr>
        <w:t>⁄</w:t>
      </w:r>
      <w:r>
        <w:rPr>
          <w:rFonts w:ascii="Cambria Math" w:hAnsi="Cambria Math" w:cs="Cambria Math"/>
          <w:lang w:eastAsia="en-US"/>
        </w:rPr>
        <w:t>𝜕𝑡</w:t>
      </w:r>
      <w:r>
        <w:rPr>
          <w:lang w:eastAsia="en-US"/>
        </w:rPr>
        <w:t xml:space="preserve"> = 0.</w:t>
      </w:r>
    </w:p>
    <w:p w:rsidR="007A11D8" w:rsidRDefault="00A95D50" w:rsidP="00AC5E69">
      <w:pPr>
        <w:pStyle w:val="MDPI31text"/>
        <w:rPr>
          <w:lang w:eastAsia="en-US"/>
        </w:rPr>
      </w:pPr>
      <w:r>
        <w:rPr>
          <w:lang w:eastAsia="en-US"/>
        </w:rPr>
        <w:t>The mass of all chemicals is constant, but the composition changes due to electrochemical reactions.</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D664F2" w:rsidRPr="00AD6DF9" w:rsidTr="004936C5">
        <w:tc>
          <w:tcPr>
            <w:tcW w:w="7428" w:type="dxa"/>
          </w:tcPr>
          <w:p w:rsidR="00D664F2" w:rsidRPr="003030D2" w:rsidRDefault="00C84C0A" w:rsidP="004936C5">
            <w:pPr>
              <w:pStyle w:val="MDPI39equation"/>
            </w:pPr>
            <w:r w:rsidRPr="00C84C0A">
              <w:rPr>
                <w:rFonts w:ascii="Times New Roman" w:eastAsiaTheme="minorEastAsia" w:hAnsi="Times New Roman"/>
                <w:noProof/>
                <w:snapToGrid/>
                <w:position w:val="-14"/>
              </w:rPr>
              <w:object w:dxaOrig="22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 style="width:111.95pt;height:20.95pt;mso-width-percent:0;mso-height-percent:0;mso-width-percent:0;mso-height-percent:0" o:ole="">
                  <v:imagedata r:id="rId9" o:title=""/>
                </v:shape>
                <o:OLEObject Type="Embed" ProgID="Equation.DSMT4" ShapeID="_x0000_i1038" DrawAspect="Content" ObjectID="_1748015298" r:id="rId10"/>
              </w:object>
            </w:r>
            <w:r w:rsidR="00AC5E69">
              <w:rPr>
                <w:rFonts w:ascii="Times New Roman" w:eastAsiaTheme="minorEastAsia" w:hAnsi="Times New Roman"/>
              </w:rPr>
              <w:t>,</w:t>
            </w:r>
          </w:p>
        </w:tc>
        <w:tc>
          <w:tcPr>
            <w:tcW w:w="431" w:type="dxa"/>
            <w:vAlign w:val="center"/>
          </w:tcPr>
          <w:p w:rsidR="00D664F2" w:rsidRPr="003030D2" w:rsidRDefault="00D664F2" w:rsidP="004936C5">
            <w:pPr>
              <w:pStyle w:val="MDPI3aequationnumber"/>
              <w:spacing w:line="260" w:lineRule="atLeast"/>
            </w:pPr>
            <w:r w:rsidRPr="003030D2">
              <w:t>(1)</w:t>
            </w:r>
          </w:p>
        </w:tc>
      </w:tr>
    </w:tbl>
    <w:p w:rsidR="00AC5E69" w:rsidRDefault="00AC5E69" w:rsidP="00AC5E69">
      <w:pPr>
        <w:pStyle w:val="MDPI31text"/>
      </w:pPr>
      <w:proofErr w:type="spellStart"/>
      <w:proofErr w:type="gramStart"/>
      <w:r>
        <w:t>m</w:t>
      </w:r>
      <w:r w:rsidRPr="00AC5E69">
        <w:rPr>
          <w:vertAlign w:val="subscript"/>
        </w:rPr>
        <w:t>i,in</w:t>
      </w:r>
      <w:proofErr w:type="spellEnd"/>
      <w:proofErr w:type="gramEnd"/>
      <w:r w:rsidRPr="00AC5E69">
        <w:rPr>
          <w:vertAlign w:val="subscript"/>
        </w:rPr>
        <w:t xml:space="preserve">   </w:t>
      </w:r>
      <w:r>
        <w:t>– mass flow rate of chemicals, kg/m3·s</w:t>
      </w:r>
    </w:p>
    <w:p w:rsidR="00AC5E69" w:rsidRDefault="00AC5E69" w:rsidP="00AC5E69">
      <w:pPr>
        <w:pStyle w:val="MDPI31text"/>
      </w:pPr>
      <w:proofErr w:type="spellStart"/>
      <w:proofErr w:type="gramStart"/>
      <w:r>
        <w:t>c</w:t>
      </w:r>
      <w:r w:rsidRPr="00AC5E69">
        <w:rPr>
          <w:vertAlign w:val="subscript"/>
        </w:rPr>
        <w:t>i,k</w:t>
      </w:r>
      <w:proofErr w:type="spellEnd"/>
      <w:proofErr w:type="gramEnd"/>
      <w:r w:rsidRPr="00AC5E69">
        <w:rPr>
          <w:vertAlign w:val="subscript"/>
        </w:rPr>
        <w:t xml:space="preserve"> </w:t>
      </w:r>
      <w:r>
        <w:t xml:space="preserve">– stoichiometric coefficient of the </w:t>
      </w:r>
      <w:proofErr w:type="spellStart"/>
      <w:r>
        <w:t>i-th</w:t>
      </w:r>
      <w:proofErr w:type="spellEnd"/>
      <w:r>
        <w:t xml:space="preserve"> component in the k-</w:t>
      </w:r>
      <w:proofErr w:type="spellStart"/>
      <w:r>
        <w:t>th</w:t>
      </w:r>
      <w:proofErr w:type="spellEnd"/>
      <w:r>
        <w:t xml:space="preserve"> reaction</w:t>
      </w:r>
    </w:p>
    <w:p w:rsidR="00AC5E69" w:rsidRDefault="00000000" w:rsidP="00AC5E69">
      <w:pPr>
        <w:pStyle w:val="MDPI31text"/>
      </w:pPr>
      <m:oMath>
        <m:sSub>
          <m:sSubPr>
            <m:ctrlPr>
              <w:rPr>
                <w:rFonts w:ascii="Cambria Math" w:hAnsi="Cambria Math"/>
                <w:i/>
              </w:rPr>
            </m:ctrlPr>
          </m:sSubPr>
          <m:e>
            <m:r>
              <w:rPr>
                <w:rFonts w:ascii="Cambria Math" w:hAnsi="Cambria Math"/>
              </w:rPr>
              <m:t>v</m:t>
            </m:r>
          </m:e>
          <m:sub>
            <m:r>
              <w:rPr>
                <w:rFonts w:ascii="Cambria Math" w:hAnsi="Cambria Math"/>
              </w:rPr>
              <m:t>k</m:t>
            </m:r>
          </m:sub>
        </m:sSub>
      </m:oMath>
      <w:r w:rsidR="00AC5E69">
        <w:t xml:space="preserve"> – </w:t>
      </w:r>
      <w:r w:rsidR="00AC5E69" w:rsidRPr="00AC5E69">
        <w:rPr>
          <w:i/>
          <w:iCs/>
        </w:rPr>
        <w:t>k</w:t>
      </w:r>
      <w:r w:rsidR="00AC5E69">
        <w:t>-</w:t>
      </w:r>
      <w:proofErr w:type="spellStart"/>
      <w:r w:rsidR="00AC5E69">
        <w:t>th</w:t>
      </w:r>
      <w:proofErr w:type="spellEnd"/>
      <w:r w:rsidR="00AC5E69">
        <w:t xml:space="preserve"> reaction rate</w:t>
      </w:r>
    </w:p>
    <w:p w:rsidR="00AC5E69" w:rsidRDefault="00AC5E69" w:rsidP="00AC5E69">
      <w:pPr>
        <w:pStyle w:val="MDPI31text"/>
      </w:pPr>
      <w:r>
        <w:t>Mass Conservation Equation</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D664F2" w:rsidRPr="00AD6DF9" w:rsidTr="004936C5">
        <w:tc>
          <w:tcPr>
            <w:tcW w:w="7428" w:type="dxa"/>
          </w:tcPr>
          <w:p w:rsidR="00D664F2" w:rsidRPr="003030D2" w:rsidRDefault="00C84C0A" w:rsidP="004936C5">
            <w:pPr>
              <w:pStyle w:val="MDPI39equation"/>
            </w:pPr>
            <w:r w:rsidRPr="00C84C0A">
              <w:rPr>
                <w:rFonts w:ascii="Times New Roman" w:eastAsiaTheme="minorEastAsia" w:hAnsi="Times New Roman"/>
                <w:noProof/>
                <w:snapToGrid/>
                <w:position w:val="-14"/>
              </w:rPr>
              <w:object w:dxaOrig="1280" w:dyaOrig="400">
                <v:shape id="_x0000_i1037" type="#_x0000_t75" alt="" style="width:62.85pt;height:20.95pt;mso-width-percent:0;mso-height-percent:0;mso-width-percent:0;mso-height-percent:0" o:ole="">
                  <v:imagedata r:id="rId11" o:title=""/>
                </v:shape>
                <o:OLEObject Type="Embed" ProgID="Equation.DSMT4" ShapeID="_x0000_i1037" DrawAspect="Content" ObjectID="_1748015299" r:id="rId12"/>
              </w:object>
            </w:r>
            <w:r w:rsidR="00AC5E69">
              <w:rPr>
                <w:rFonts w:ascii="Times New Roman" w:eastAsiaTheme="minorEastAsia" w:hAnsi="Times New Roman"/>
              </w:rPr>
              <w:t>,</w:t>
            </w:r>
          </w:p>
        </w:tc>
        <w:tc>
          <w:tcPr>
            <w:tcW w:w="431" w:type="dxa"/>
            <w:vAlign w:val="center"/>
          </w:tcPr>
          <w:p w:rsidR="00D664F2" w:rsidRPr="003030D2" w:rsidRDefault="00D664F2" w:rsidP="004936C5">
            <w:pPr>
              <w:pStyle w:val="MDPI3aequationnumber"/>
              <w:spacing w:line="260" w:lineRule="atLeast"/>
            </w:pPr>
            <w:r w:rsidRPr="003030D2">
              <w:t>(</w:t>
            </w:r>
            <w:r>
              <w:t>2</w:t>
            </w:r>
            <w:r w:rsidRPr="003030D2">
              <w:t>)</w:t>
            </w:r>
          </w:p>
        </w:tc>
      </w:tr>
    </w:tbl>
    <w:p w:rsidR="00AC5E69" w:rsidRDefault="00AC5E69" w:rsidP="00AC5E69">
      <w:pPr>
        <w:pStyle w:val="MDPI31text"/>
      </w:pPr>
      <w:r>
        <w:t xml:space="preserve">ε - porosity,  </w:t>
      </w:r>
      <m:oMath>
        <m:r>
          <w:rPr>
            <w:rFonts w:ascii="Cambria Math" w:hAnsi="Cambria Math"/>
          </w:rPr>
          <m:t xml:space="preserve">ρ </m:t>
        </m:r>
      </m:oMath>
      <w:r>
        <w:t>– density, kg/m3</w:t>
      </w:r>
    </w:p>
    <w:p w:rsidR="00D664F2" w:rsidRDefault="00AC5E69" w:rsidP="00AC5E69">
      <w:pPr>
        <w:pStyle w:val="MDPI31text"/>
      </w:pPr>
      <w:r>
        <w:t>The total consumption of substances can be calculated using the following formula:</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D664F2" w:rsidRPr="00AD6DF9" w:rsidTr="004936C5">
        <w:tc>
          <w:tcPr>
            <w:tcW w:w="7428" w:type="dxa"/>
          </w:tcPr>
          <w:p w:rsidR="00D664F2" w:rsidRPr="003030D2" w:rsidRDefault="00D664F2" w:rsidP="004936C5">
            <w:pPr>
              <w:pStyle w:val="MDPI39equation"/>
            </w:pPr>
            <w:r w:rsidRPr="00D664F2">
              <w:t>m = mH2 + mO2 + mH2O</w:t>
            </w:r>
            <w:r w:rsidR="00AC5E69">
              <w:t>,</w:t>
            </w:r>
          </w:p>
        </w:tc>
        <w:tc>
          <w:tcPr>
            <w:tcW w:w="431" w:type="dxa"/>
            <w:vAlign w:val="center"/>
          </w:tcPr>
          <w:p w:rsidR="00D664F2" w:rsidRPr="003030D2" w:rsidRDefault="00D664F2" w:rsidP="004936C5">
            <w:pPr>
              <w:pStyle w:val="MDPI3aequationnumber"/>
              <w:spacing w:line="260" w:lineRule="atLeast"/>
            </w:pPr>
            <w:r w:rsidRPr="003030D2">
              <w:t>(</w:t>
            </w:r>
            <w:r>
              <w:t>3</w:t>
            </w:r>
            <w:r w:rsidRPr="003030D2">
              <w:t>)</w:t>
            </w:r>
          </w:p>
        </w:tc>
      </w:tr>
    </w:tbl>
    <w:p w:rsidR="00D664F2" w:rsidRDefault="00AC5E69" w:rsidP="007A11D8">
      <w:pPr>
        <w:pStyle w:val="MDPI31text"/>
      </w:pPr>
      <w:r w:rsidRPr="00AC5E69">
        <w:t xml:space="preserve">where the consumption of each </w:t>
      </w:r>
      <w:proofErr w:type="spellStart"/>
      <w:r w:rsidRPr="00AC5E69">
        <w:t>i-th</w:t>
      </w:r>
      <w:proofErr w:type="spellEnd"/>
      <w:r w:rsidRPr="00AC5E69">
        <w:t xml:space="preserve"> component is calculated as follows:</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D664F2" w:rsidRPr="00AD6DF9" w:rsidTr="004936C5">
        <w:tc>
          <w:tcPr>
            <w:tcW w:w="7428" w:type="dxa"/>
          </w:tcPr>
          <w:p w:rsidR="00D664F2" w:rsidRPr="003030D2" w:rsidRDefault="00C84C0A" w:rsidP="004936C5">
            <w:pPr>
              <w:pStyle w:val="MDPI39equation"/>
            </w:pPr>
            <w:r w:rsidRPr="00C84C0A">
              <w:rPr>
                <w:rFonts w:ascii="Cambria Math" w:hAnsi="Cambria Math"/>
                <w:noProof/>
                <w:snapToGrid/>
                <w:position w:val="-28"/>
              </w:rPr>
              <w:object w:dxaOrig="1560" w:dyaOrig="680">
                <v:shape id="_x0000_i1036" type="#_x0000_t75" alt="" style="width:78.55pt;height:34.05pt;mso-width-percent:0;mso-height-percent:0;mso-width-percent:0;mso-height-percent:0" o:ole="">
                  <v:imagedata r:id="rId13" o:title=""/>
                </v:shape>
                <o:OLEObject Type="Embed" ProgID="Equation.DSMT4" ShapeID="_x0000_i1036" DrawAspect="Content" ObjectID="_1748015300" r:id="rId14"/>
              </w:object>
            </w:r>
            <w:r w:rsidR="00AC5E69">
              <w:rPr>
                <w:rFonts w:ascii="Cambria Math" w:hAnsi="Cambria Math"/>
              </w:rPr>
              <w:t>,</w:t>
            </w:r>
          </w:p>
        </w:tc>
        <w:tc>
          <w:tcPr>
            <w:tcW w:w="431" w:type="dxa"/>
            <w:vAlign w:val="center"/>
          </w:tcPr>
          <w:p w:rsidR="00D664F2" w:rsidRPr="003030D2" w:rsidRDefault="00D664F2" w:rsidP="004936C5">
            <w:pPr>
              <w:pStyle w:val="MDPI3aequationnumber"/>
              <w:spacing w:line="260" w:lineRule="atLeast"/>
            </w:pPr>
            <w:r w:rsidRPr="003030D2">
              <w:t>(</w:t>
            </w:r>
            <w:r>
              <w:t>4</w:t>
            </w:r>
            <w:r w:rsidRPr="003030D2">
              <w:t>)</w:t>
            </w:r>
          </w:p>
        </w:tc>
      </w:tr>
    </w:tbl>
    <w:p w:rsidR="00AC5E69" w:rsidRDefault="00AC5E69" w:rsidP="00AC5E69">
      <w:pPr>
        <w:pStyle w:val="MDPI31text"/>
      </w:pPr>
      <w:proofErr w:type="spellStart"/>
      <w:r w:rsidRPr="00AC5E69">
        <w:rPr>
          <w:i/>
          <w:iCs/>
        </w:rPr>
        <w:t>М</w:t>
      </w:r>
      <w:r w:rsidRPr="00AC5E69">
        <w:rPr>
          <w:i/>
          <w:iCs/>
          <w:vertAlign w:val="subscript"/>
        </w:rPr>
        <w:t>i</w:t>
      </w:r>
      <w:proofErr w:type="spellEnd"/>
      <w:r w:rsidRPr="00AC5E69">
        <w:rPr>
          <w:vertAlign w:val="subscript"/>
        </w:rPr>
        <w:t xml:space="preserve"> </w:t>
      </w:r>
      <w:r>
        <w:t>– molar mass.</w:t>
      </w:r>
    </w:p>
    <w:p w:rsidR="00D664F2" w:rsidRDefault="00AC5E69" w:rsidP="00AC5E69">
      <w:pPr>
        <w:pStyle w:val="MDPI31text"/>
      </w:pPr>
      <w:r>
        <w:t>Due to the low Reynolds number and steady state, the conservation equation can be written as:</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D664F2" w:rsidRPr="00AD6DF9" w:rsidTr="004936C5">
        <w:tc>
          <w:tcPr>
            <w:tcW w:w="7428" w:type="dxa"/>
          </w:tcPr>
          <w:p w:rsidR="00D664F2" w:rsidRPr="003030D2" w:rsidRDefault="00C84C0A" w:rsidP="004936C5">
            <w:pPr>
              <w:pStyle w:val="MDPI39equation"/>
            </w:pPr>
            <w:r w:rsidRPr="00C84C0A">
              <w:rPr>
                <w:rFonts w:ascii="Cambria Math" w:hAnsi="Cambria Math"/>
                <w:noProof/>
                <w:snapToGrid/>
                <w:position w:val="-32"/>
              </w:rPr>
              <w:object w:dxaOrig="4900" w:dyaOrig="740">
                <v:shape id="_x0000_i1035" type="#_x0000_t75" alt="" style="width:244.8pt;height:36pt;mso-width-percent:0;mso-height-percent:0;mso-width-percent:0;mso-height-percent:0" o:ole="">
                  <v:imagedata r:id="rId15" o:title=""/>
                </v:shape>
                <o:OLEObject Type="Embed" ProgID="Equation.DSMT4" ShapeID="_x0000_i1035" DrawAspect="Content" ObjectID="_1748015301" r:id="rId16"/>
              </w:object>
            </w:r>
            <w:r w:rsidR="00AC5E69">
              <w:rPr>
                <w:rFonts w:ascii="Cambria Math" w:hAnsi="Cambria Math"/>
              </w:rPr>
              <w:t>,</w:t>
            </w:r>
          </w:p>
        </w:tc>
        <w:tc>
          <w:tcPr>
            <w:tcW w:w="431" w:type="dxa"/>
            <w:vAlign w:val="center"/>
          </w:tcPr>
          <w:p w:rsidR="00D664F2" w:rsidRPr="003030D2" w:rsidRDefault="00D664F2" w:rsidP="004936C5">
            <w:pPr>
              <w:pStyle w:val="MDPI3aequationnumber"/>
              <w:spacing w:line="260" w:lineRule="atLeast"/>
            </w:pPr>
            <w:r w:rsidRPr="003030D2">
              <w:t>(</w:t>
            </w:r>
            <w:r>
              <w:t>5</w:t>
            </w:r>
            <w:r w:rsidRPr="003030D2">
              <w:t>)</w:t>
            </w:r>
          </w:p>
        </w:tc>
      </w:tr>
    </w:tbl>
    <w:p w:rsidR="00AC5E69" w:rsidRDefault="00AC5E69" w:rsidP="00AC5E69">
      <w:pPr>
        <w:pStyle w:val="MDPI31text"/>
      </w:pPr>
      <w:r>
        <w:t xml:space="preserve">where </w:t>
      </w:r>
      <w:r w:rsidRPr="00AC5E69">
        <w:rPr>
          <w:i/>
          <w:iCs/>
        </w:rPr>
        <w:t>k</w:t>
      </w:r>
      <w:r w:rsidRPr="00AC5E69">
        <w:rPr>
          <w:vertAlign w:val="subscript"/>
        </w:rPr>
        <w:t>g</w:t>
      </w:r>
      <w:r>
        <w:t xml:space="preserve"> is the permeability of the gas phase, m</w:t>
      </w:r>
      <w:r w:rsidRPr="00AC5E69">
        <w:rPr>
          <w:vertAlign w:val="superscript"/>
        </w:rPr>
        <w:t>2</w:t>
      </w:r>
      <w:r>
        <w:t xml:space="preserve">; </w:t>
      </w:r>
      <w:r w:rsidRPr="00AC5E69">
        <w:rPr>
          <w:i/>
          <w:iCs/>
        </w:rPr>
        <w:t xml:space="preserve">μ </w:t>
      </w:r>
      <w:r>
        <w:t>is the gas viscosity kg/(</w:t>
      </w:r>
      <w:proofErr w:type="spellStart"/>
      <w:r>
        <w:t>m·s</w:t>
      </w:r>
      <w:proofErr w:type="spellEnd"/>
      <w:r>
        <w:t>)</w:t>
      </w:r>
    </w:p>
    <w:p w:rsidR="00D664F2" w:rsidRDefault="00AC5E69" w:rsidP="00AC5E69">
      <w:pPr>
        <w:pStyle w:val="MDPI31text"/>
      </w:pPr>
      <w:r>
        <w:t>The equation of substance transfer in SOFC can be written as:</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D664F2" w:rsidRPr="00AD6DF9" w:rsidTr="004936C5">
        <w:tc>
          <w:tcPr>
            <w:tcW w:w="7428" w:type="dxa"/>
          </w:tcPr>
          <w:p w:rsidR="00D664F2" w:rsidRPr="003030D2" w:rsidRDefault="00C84C0A" w:rsidP="004936C5">
            <w:pPr>
              <w:pStyle w:val="MDPI39equation"/>
            </w:pPr>
            <w:r w:rsidRPr="00C84C0A">
              <w:rPr>
                <w:rFonts w:ascii="Cambria Math" w:hAnsi="Cambria Math"/>
                <w:noProof/>
                <w:snapToGrid/>
                <w:position w:val="-34"/>
              </w:rPr>
              <w:object w:dxaOrig="3220" w:dyaOrig="800">
                <v:shape id="_x0000_i1034" type="#_x0000_t75" alt="" style="width:160.35pt;height:38.6pt;mso-width-percent:0;mso-height-percent:0;mso-width-percent:0;mso-height-percent:0" o:ole="">
                  <v:imagedata r:id="rId17" o:title=""/>
                </v:shape>
                <o:OLEObject Type="Embed" ProgID="Equation.DSMT4" ShapeID="_x0000_i1034" DrawAspect="Content" ObjectID="_1748015302" r:id="rId18"/>
              </w:object>
            </w:r>
            <w:r w:rsidR="00AC5E69">
              <w:rPr>
                <w:rFonts w:ascii="Cambria Math" w:hAnsi="Cambria Math"/>
              </w:rPr>
              <w:t>,</w:t>
            </w:r>
          </w:p>
        </w:tc>
        <w:tc>
          <w:tcPr>
            <w:tcW w:w="431" w:type="dxa"/>
            <w:vAlign w:val="center"/>
          </w:tcPr>
          <w:p w:rsidR="00D664F2" w:rsidRPr="003030D2" w:rsidRDefault="00D664F2" w:rsidP="004936C5">
            <w:pPr>
              <w:pStyle w:val="MDPI3aequationnumber"/>
              <w:spacing w:line="260" w:lineRule="atLeast"/>
            </w:pPr>
            <w:r w:rsidRPr="003030D2">
              <w:t>(</w:t>
            </w:r>
            <w:r>
              <w:t>6</w:t>
            </w:r>
            <w:r w:rsidRPr="003030D2">
              <w:t>)</w:t>
            </w:r>
          </w:p>
        </w:tc>
      </w:tr>
    </w:tbl>
    <w:p w:rsidR="00D664F2" w:rsidRDefault="005B3915" w:rsidP="00AC5E69">
      <w:pPr>
        <w:pStyle w:val="MDPI31text"/>
      </w:pPr>
      <w:r w:rsidRPr="005B3915">
        <w:t xml:space="preserve">where </w:t>
      </w:r>
      <w:proofErr w:type="spellStart"/>
      <w:r w:rsidRPr="005B3915">
        <w:rPr>
          <w:i/>
          <w:iCs/>
        </w:rPr>
        <w:t>y</w:t>
      </w:r>
      <w:r w:rsidRPr="005B3915">
        <w:rPr>
          <w:i/>
          <w:iCs/>
          <w:vertAlign w:val="subscript"/>
        </w:rPr>
        <w:t>i</w:t>
      </w:r>
      <w:proofErr w:type="spellEnd"/>
      <w:r w:rsidRPr="005B3915">
        <w:rPr>
          <w:vertAlign w:val="subscript"/>
        </w:rPr>
        <w:t xml:space="preserve"> </w:t>
      </w:r>
      <w:r w:rsidRPr="005B3915">
        <w:t xml:space="preserve">is the mass fraction of the substance; </w:t>
      </w:r>
      <w:proofErr w:type="spellStart"/>
      <w:proofErr w:type="gramStart"/>
      <w:r w:rsidRPr="005B3915">
        <w:rPr>
          <w:i/>
          <w:iCs/>
        </w:rPr>
        <w:t>D</w:t>
      </w:r>
      <w:r w:rsidRPr="005B3915">
        <w:rPr>
          <w:i/>
          <w:iCs/>
          <w:vertAlign w:val="subscript"/>
        </w:rPr>
        <w:t>ef,ij</w:t>
      </w:r>
      <w:proofErr w:type="spellEnd"/>
      <w:proofErr w:type="gramEnd"/>
      <w:r w:rsidRPr="005B3915">
        <w:rPr>
          <w:i/>
          <w:iCs/>
          <w:vertAlign w:val="subscript"/>
        </w:rPr>
        <w:t xml:space="preserve"> </w:t>
      </w:r>
      <w:r w:rsidRPr="005B3915">
        <w:t xml:space="preserve">is the effective diffusion coefficient between </w:t>
      </w:r>
      <w:proofErr w:type="spellStart"/>
      <w:r w:rsidRPr="005B3915">
        <w:t>i-th</w:t>
      </w:r>
      <w:proofErr w:type="spellEnd"/>
      <w:r w:rsidRPr="005B3915">
        <w:t xml:space="preserve"> and j-</w:t>
      </w:r>
      <w:proofErr w:type="spellStart"/>
      <w:r w:rsidRPr="005B3915">
        <w:t>th</w:t>
      </w:r>
      <w:proofErr w:type="spellEnd"/>
      <w:r w:rsidRPr="005B3915">
        <w:t xml:space="preserve"> substances (m</w:t>
      </w:r>
      <w:r w:rsidRPr="005B3915">
        <w:rPr>
          <w:vertAlign w:val="superscript"/>
        </w:rPr>
        <w:t>2</w:t>
      </w:r>
      <w:r w:rsidRPr="005B3915">
        <w:t xml:space="preserve">/s); </w:t>
      </w:r>
      <w:proofErr w:type="spellStart"/>
      <w:r w:rsidRPr="005B3915">
        <w:rPr>
          <w:i/>
          <w:iCs/>
        </w:rPr>
        <w:t>x</w:t>
      </w:r>
      <w:r w:rsidRPr="005B3915">
        <w:rPr>
          <w:i/>
          <w:iCs/>
          <w:vertAlign w:val="subscript"/>
        </w:rPr>
        <w:t>j</w:t>
      </w:r>
      <w:proofErr w:type="spellEnd"/>
      <w:r w:rsidRPr="005B3915">
        <w:t xml:space="preserve"> is the mole fraction of the j-</w:t>
      </w:r>
      <w:proofErr w:type="spellStart"/>
      <w:r w:rsidRPr="005B3915">
        <w:t>th</w:t>
      </w:r>
      <w:proofErr w:type="spellEnd"/>
      <w:r w:rsidRPr="005B3915">
        <w:t xml:space="preserve"> substance.</w:t>
      </w:r>
      <w:r w:rsidR="00851CA0">
        <w:t xml:space="preserve"> </w:t>
      </w:r>
      <w:r w:rsidR="00851CA0" w:rsidRPr="00851CA0">
        <w:t>The energy conservation equation can be formulated as follows:</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D664F2" w:rsidRPr="00AD6DF9" w:rsidTr="004936C5">
        <w:tc>
          <w:tcPr>
            <w:tcW w:w="7428" w:type="dxa"/>
          </w:tcPr>
          <w:p w:rsidR="00D664F2" w:rsidRPr="003030D2" w:rsidRDefault="00C84C0A" w:rsidP="004936C5">
            <w:pPr>
              <w:pStyle w:val="MDPI39equation"/>
            </w:pPr>
            <w:r w:rsidRPr="00C84C0A">
              <w:rPr>
                <w:rFonts w:ascii="Cambria Math" w:eastAsiaTheme="minorEastAsia" w:hAnsi="Cambria Math"/>
                <w:noProof/>
                <w:snapToGrid/>
                <w:position w:val="-16"/>
              </w:rPr>
              <w:object w:dxaOrig="2920" w:dyaOrig="440">
                <v:shape id="_x0000_i1033" type="#_x0000_t75" alt="" style="width:146.6pt;height:22.25pt;mso-width-percent:0;mso-height-percent:0;mso-width-percent:0;mso-height-percent:0" o:ole="">
                  <v:imagedata r:id="rId19" o:title=""/>
                </v:shape>
                <o:OLEObject Type="Embed" ProgID="Equation.DSMT4" ShapeID="_x0000_i1033" DrawAspect="Content" ObjectID="_1748015303" r:id="rId20"/>
              </w:object>
            </w:r>
            <w:r w:rsidR="00AC5E69">
              <w:rPr>
                <w:rFonts w:ascii="Cambria Math" w:eastAsiaTheme="minorEastAsia" w:hAnsi="Cambria Math"/>
              </w:rPr>
              <w:t>,</w:t>
            </w:r>
          </w:p>
        </w:tc>
        <w:tc>
          <w:tcPr>
            <w:tcW w:w="431" w:type="dxa"/>
            <w:vAlign w:val="center"/>
          </w:tcPr>
          <w:p w:rsidR="00D664F2" w:rsidRPr="003030D2" w:rsidRDefault="00D664F2" w:rsidP="004936C5">
            <w:pPr>
              <w:pStyle w:val="MDPI3aequationnumber"/>
              <w:spacing w:line="260" w:lineRule="atLeast"/>
            </w:pPr>
            <w:r w:rsidRPr="003030D2">
              <w:t>(</w:t>
            </w:r>
            <w:r>
              <w:t>7</w:t>
            </w:r>
            <w:r w:rsidRPr="003030D2">
              <w:t>)</w:t>
            </w:r>
          </w:p>
        </w:tc>
      </w:tr>
    </w:tbl>
    <w:p w:rsidR="00851CA0" w:rsidRDefault="00851CA0" w:rsidP="00851CA0">
      <w:pPr>
        <w:pStyle w:val="MDPI31text"/>
      </w:pPr>
      <w:r>
        <w:t xml:space="preserve">where </w:t>
      </w:r>
      <w:proofErr w:type="spellStart"/>
      <w:r>
        <w:t>С</w:t>
      </w:r>
      <w:r w:rsidRPr="00851CA0">
        <w:rPr>
          <w:vertAlign w:val="subscript"/>
        </w:rPr>
        <w:t>p</w:t>
      </w:r>
      <w:proofErr w:type="spellEnd"/>
      <w:r>
        <w:t xml:space="preserve"> is the specific heat capacity, J/</w:t>
      </w:r>
      <w:proofErr w:type="spellStart"/>
      <w:r>
        <w:t>kg·K</w:t>
      </w:r>
      <w:proofErr w:type="spellEnd"/>
      <w:r>
        <w:t xml:space="preserve">; </w:t>
      </w:r>
      <w:r w:rsidRPr="00851CA0">
        <w:rPr>
          <w:i/>
          <w:iCs/>
        </w:rPr>
        <w:t>k</w:t>
      </w:r>
      <w:r w:rsidRPr="00851CA0">
        <w:rPr>
          <w:i/>
          <w:iCs/>
          <w:vertAlign w:val="subscript"/>
        </w:rPr>
        <w:t>ef</w:t>
      </w:r>
      <w:r>
        <w:t xml:space="preserve"> is the thermal conductivity coefficient, W/</w:t>
      </w:r>
      <w:proofErr w:type="spellStart"/>
      <w:r>
        <w:t>m·K</w:t>
      </w:r>
      <w:proofErr w:type="spellEnd"/>
      <w:r>
        <w:t xml:space="preserve">; </w:t>
      </w:r>
      <m:oMath>
        <m:sSub>
          <m:sSubPr>
            <m:ctrlPr>
              <w:rPr>
                <w:rFonts w:ascii="Cambria Math" w:hAnsi="Cambria Math"/>
                <w:i/>
              </w:rPr>
            </m:ctrlPr>
          </m:sSubPr>
          <m:e>
            <m:r>
              <w:rPr>
                <w:rFonts w:ascii="Cambria Math" w:hAnsi="Cambria Math"/>
              </w:rPr>
              <m:t>Q</m:t>
            </m:r>
          </m:e>
          <m:sub>
            <m:r>
              <w:rPr>
                <w:rFonts w:ascii="Cambria Math" w:hAnsi="Cambria Math"/>
              </w:rPr>
              <m:t>v</m:t>
            </m:r>
          </m:sub>
        </m:sSub>
      </m:oMath>
      <w:r>
        <w:t xml:space="preserve"> is the heat flow, W/m</w:t>
      </w:r>
      <w:r w:rsidRPr="00851CA0">
        <w:rPr>
          <w:vertAlign w:val="superscript"/>
        </w:rPr>
        <w:t>3</w:t>
      </w:r>
      <w:r>
        <w:t>.</w:t>
      </w:r>
    </w:p>
    <w:p w:rsidR="00851CA0" w:rsidRPr="00DA4593" w:rsidRDefault="00851CA0" w:rsidP="00851CA0">
      <w:pPr>
        <w:pStyle w:val="MDPI31text"/>
        <w:rPr>
          <w:color w:val="000000" w:themeColor="text1"/>
        </w:rPr>
      </w:pPr>
      <w:r>
        <w:lastRenderedPageBreak/>
        <w:t xml:space="preserve">To solve the charge conservation equation, the transport of electrons and ions must be taken into account. An electronic charge occurs in the electrodes and connecting elements. </w:t>
      </w:r>
      <w:r w:rsidRPr="00DA4593">
        <w:rPr>
          <w:color w:val="000000" w:themeColor="text1"/>
        </w:rPr>
        <w:t>While ionic charge exists only in electrodes and electrolyte.</w:t>
      </w:r>
    </w:p>
    <w:p w:rsidR="00851CA0" w:rsidRPr="00DA4593" w:rsidRDefault="00851CA0" w:rsidP="00851CA0">
      <w:pPr>
        <w:pStyle w:val="MDPI31text"/>
        <w:rPr>
          <w:color w:val="000000" w:themeColor="text1"/>
        </w:rPr>
      </w:pPr>
      <w:r w:rsidRPr="00DA4593">
        <w:rPr>
          <w:color w:val="000000" w:themeColor="text1"/>
        </w:rPr>
        <w:t>According to Ohm's law, the electronic charge balance is calculated as follows:</w:t>
      </w:r>
    </w:p>
    <w:p w:rsidR="00851CA0" w:rsidRPr="00DA4593" w:rsidRDefault="00851CA0" w:rsidP="00851CA0">
      <w:pPr>
        <w:pStyle w:val="MDPI31text"/>
        <w:rPr>
          <w:color w:val="000000" w:themeColor="text1"/>
        </w:rPr>
      </w:pPr>
      <w:r w:rsidRPr="00DA4593">
        <w:rPr>
          <w:color w:val="000000" w:themeColor="text1"/>
        </w:rPr>
        <w:t>On the anode</w:t>
      </w:r>
      <w:r w:rsidR="00203CAC" w:rsidRPr="00DA4593">
        <w:rPr>
          <w:color w:val="000000" w:themeColor="text1"/>
        </w:rPr>
        <w:t xml:space="preserve">: </w:t>
      </w:r>
      <m:oMath>
        <m:r>
          <m:rPr>
            <m:sty m:val="p"/>
          </m:rPr>
          <w:rPr>
            <w:rFonts w:ascii="Cambria Math" w:hAnsi="Cambria Math"/>
            <w:color w:val="000000" w:themeColor="text1"/>
          </w:rPr>
          <m:t>∇</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σ</m:t>
                </m:r>
              </m:e>
              <m:sub>
                <m:r>
                  <w:rPr>
                    <w:rFonts w:ascii="Cambria Math" w:hAnsi="Cambria Math"/>
                    <w:color w:val="000000" w:themeColor="text1"/>
                  </w:rPr>
                  <m:t>a</m:t>
                </m:r>
              </m:sub>
            </m:sSub>
            <m:r>
              <m:rPr>
                <m:sty m:val="p"/>
              </m:rP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m:t>
                </m:r>
              </m:e>
              <m:sub>
                <m:r>
                  <w:rPr>
                    <w:rFonts w:ascii="Cambria Math" w:hAnsi="Cambria Math"/>
                    <w:color w:val="000000" w:themeColor="text1"/>
                  </w:rPr>
                  <m:t>e</m:t>
                </m:r>
              </m:sub>
            </m:sSub>
          </m:e>
        </m: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J</m:t>
            </m:r>
          </m:e>
          <m:sub>
            <m:r>
              <w:rPr>
                <w:rFonts w:ascii="Cambria Math" w:hAnsi="Cambria Math"/>
                <w:color w:val="000000" w:themeColor="text1"/>
              </w:rPr>
              <m:t>a</m:t>
            </m:r>
          </m:sub>
        </m:sSub>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V</m:t>
            </m:r>
          </m:sub>
        </m:sSub>
      </m:oMath>
    </w:p>
    <w:p w:rsidR="00851CA0" w:rsidRPr="00DA4593" w:rsidRDefault="00851CA0" w:rsidP="00851CA0">
      <w:pPr>
        <w:pStyle w:val="MDPI31text"/>
        <w:rPr>
          <w:color w:val="000000" w:themeColor="text1"/>
        </w:rPr>
      </w:pPr>
      <w:r w:rsidRPr="00DA4593">
        <w:rPr>
          <w:color w:val="000000" w:themeColor="text1"/>
        </w:rPr>
        <w:t xml:space="preserve">On the cathode: </w:t>
      </w:r>
      <m:oMath>
        <m:r>
          <m:rPr>
            <m:sty m:val="p"/>
          </m:rPr>
          <w:rPr>
            <w:rFonts w:ascii="Cambria Math" w:hAnsi="Cambria Math"/>
            <w:color w:val="000000" w:themeColor="text1"/>
          </w:rPr>
          <m:t>∇</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σ</m:t>
                </m:r>
              </m:e>
              <m:sub>
                <m:r>
                  <w:rPr>
                    <w:rFonts w:ascii="Cambria Math" w:hAnsi="Cambria Math"/>
                    <w:color w:val="000000" w:themeColor="text1"/>
                  </w:rPr>
                  <m:t>c</m:t>
                </m:r>
              </m:sub>
            </m:sSub>
            <m:r>
              <m:rPr>
                <m:sty m:val="p"/>
              </m:rP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m:t>
                </m:r>
              </m:e>
              <m:sub>
                <m:r>
                  <w:rPr>
                    <w:rFonts w:ascii="Cambria Math" w:hAnsi="Cambria Math"/>
                    <w:color w:val="000000" w:themeColor="text1"/>
                  </w:rPr>
                  <m:t>e</m:t>
                </m:r>
              </m:sub>
            </m:sSub>
          </m:e>
        </m: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J</m:t>
            </m:r>
          </m:e>
          <m:sub>
            <m:r>
              <w:rPr>
                <w:rFonts w:ascii="Cambria Math" w:hAnsi="Cambria Math"/>
                <w:color w:val="000000" w:themeColor="text1"/>
              </w:rPr>
              <m:t>c</m:t>
            </m:r>
          </m:sub>
        </m:sSub>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V</m:t>
            </m:r>
          </m:sub>
        </m:sSub>
      </m:oMath>
    </w:p>
    <w:p w:rsidR="00851CA0" w:rsidRPr="00DA4593" w:rsidRDefault="00851CA0" w:rsidP="00851CA0">
      <w:pPr>
        <w:pStyle w:val="MDPI31text"/>
        <w:rPr>
          <w:color w:val="000000" w:themeColor="text1"/>
        </w:rPr>
      </w:pPr>
      <w:r w:rsidRPr="00DA4593">
        <w:rPr>
          <w:color w:val="000000" w:themeColor="text1"/>
        </w:rPr>
        <w:t>According to Ohm's law, the ionic charge balance is calculated as follows:</w:t>
      </w:r>
    </w:p>
    <w:p w:rsidR="00851CA0" w:rsidRDefault="00851CA0" w:rsidP="00851CA0">
      <w:pPr>
        <w:pStyle w:val="MDPI31text"/>
      </w:pPr>
      <w:r w:rsidRPr="00DA4593">
        <w:rPr>
          <w:color w:val="000000" w:themeColor="text1"/>
        </w:rPr>
        <w:t xml:space="preserve">In electrolyte: </w:t>
      </w:r>
      <m:oMath>
        <m:r>
          <m:rPr>
            <m:sty m:val="p"/>
          </m:rPr>
          <w:rPr>
            <w:rFonts w:ascii="Cambria Math" w:hAnsi="Cambria Math"/>
            <w:color w:val="000000" w:themeColor="text1"/>
          </w:rPr>
          <m:t>∇</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σ</m:t>
                </m:r>
              </m:e>
              <m:sub>
                <m:r>
                  <w:rPr>
                    <w:rFonts w:ascii="Cambria Math" w:hAnsi="Cambria Math"/>
                    <w:color w:val="000000" w:themeColor="text1"/>
                  </w:rPr>
                  <m:t>el</m:t>
                </m:r>
              </m:sub>
            </m:sSub>
            <m:r>
              <m:rPr>
                <m:sty m:val="p"/>
              </m:rP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m:t>
                </m:r>
              </m:e>
              <m:sub>
                <m:r>
                  <w:rPr>
                    <w:rFonts w:ascii="Cambria Math" w:hAnsi="Cambria Math"/>
                    <w:color w:val="000000" w:themeColor="text1"/>
                  </w:rPr>
                  <m:t>i</m:t>
                </m:r>
              </m:sub>
            </m:sSub>
          </m:e>
        </m:d>
        <m:r>
          <w:rPr>
            <w:rFonts w:ascii="Cambria Math" w:hAnsi="Cambria Math"/>
            <w:color w:val="000000" w:themeColor="text1"/>
          </w:rPr>
          <m:t>=</m:t>
        </m:r>
        <m:r>
          <w:rPr>
            <w:rFonts w:ascii="Cambria Math" w:hAnsi="Cambria Math"/>
          </w:rPr>
          <m:t>0</m:t>
        </m:r>
      </m:oMath>
    </w:p>
    <w:p w:rsidR="00851CA0" w:rsidRDefault="00851CA0" w:rsidP="00851CA0">
      <w:pPr>
        <w:pStyle w:val="MDPI31text"/>
      </w:pPr>
      <w:r>
        <w:t xml:space="preserve">On the anode: </w:t>
      </w:r>
      <m:oMath>
        <m:r>
          <m:rPr>
            <m:sty m:val="p"/>
          </m:rP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σ</m:t>
                </m:r>
              </m:e>
              <m:sub>
                <m:r>
                  <w:rPr>
                    <w:rFonts w:ascii="Cambria Math" w:hAnsi="Cambria Math"/>
                  </w:rPr>
                  <m:t>a</m:t>
                </m:r>
              </m:sub>
            </m:sSub>
            <m:r>
              <m:rPr>
                <m:sty m:val="p"/>
              </m:rP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i</m:t>
                </m:r>
              </m:sub>
            </m:sSub>
          </m:e>
        </m:d>
        <m:r>
          <w:rPr>
            <w:rFonts w:ascii="Cambria Math" w:hAnsi="Cambria Math"/>
          </w:rPr>
          <m:t>=</m:t>
        </m:r>
        <m:sSub>
          <m:sSubPr>
            <m:ctrlPr>
              <w:rPr>
                <w:rFonts w:ascii="Cambria Math" w:hAnsi="Cambria Math"/>
                <w:i/>
              </w:rPr>
            </m:ctrlPr>
          </m:sSubPr>
          <m:e>
            <m:r>
              <w:rPr>
                <w:rFonts w:ascii="Cambria Math" w:hAnsi="Cambria Math"/>
              </w:rPr>
              <m:t>J</m:t>
            </m:r>
          </m:e>
          <m:sub>
            <m:r>
              <w:rPr>
                <w:rFonts w:ascii="Cambria Math" w:hAnsi="Cambria Math"/>
              </w:rPr>
              <m:t>a</m:t>
            </m:r>
          </m:sub>
        </m:sSub>
        <m:sSub>
          <m:sSubPr>
            <m:ctrlPr>
              <w:rPr>
                <w:rFonts w:ascii="Cambria Math" w:hAnsi="Cambria Math"/>
                <w:i/>
              </w:rPr>
            </m:ctrlPr>
          </m:sSubPr>
          <m:e>
            <m:r>
              <w:rPr>
                <w:rFonts w:ascii="Cambria Math" w:hAnsi="Cambria Math"/>
              </w:rPr>
              <m:t>A</m:t>
            </m:r>
          </m:e>
          <m:sub>
            <m:r>
              <w:rPr>
                <w:rFonts w:ascii="Cambria Math" w:hAnsi="Cambria Math"/>
              </w:rPr>
              <m:t>V</m:t>
            </m:r>
          </m:sub>
        </m:sSub>
      </m:oMath>
    </w:p>
    <w:p w:rsidR="00851CA0" w:rsidRDefault="00851CA0" w:rsidP="00851CA0">
      <w:pPr>
        <w:pStyle w:val="MDPI31text"/>
      </w:pPr>
      <w:r>
        <w:t xml:space="preserve">On the cathode: </w:t>
      </w:r>
      <m:oMath>
        <m:r>
          <m:rPr>
            <m:sty m:val="p"/>
          </m:rP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σ</m:t>
                </m:r>
              </m:e>
              <m:sub>
                <m:r>
                  <w:rPr>
                    <w:rFonts w:ascii="Cambria Math" w:hAnsi="Cambria Math"/>
                  </w:rPr>
                  <m:t>c</m:t>
                </m:r>
              </m:sub>
            </m:sSub>
            <m:r>
              <m:rPr>
                <m:sty m:val="p"/>
              </m:rP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i</m:t>
                </m:r>
              </m:sub>
            </m:sSub>
          </m:e>
        </m:d>
        <m:r>
          <w:rPr>
            <w:rFonts w:ascii="Cambria Math" w:hAnsi="Cambria Math"/>
          </w:rPr>
          <m:t>=</m:t>
        </m:r>
        <m:sSub>
          <m:sSubPr>
            <m:ctrlPr>
              <w:rPr>
                <w:rFonts w:ascii="Cambria Math" w:hAnsi="Cambria Math"/>
                <w:i/>
              </w:rPr>
            </m:ctrlPr>
          </m:sSubPr>
          <m:e>
            <m:r>
              <w:rPr>
                <w:rFonts w:ascii="Cambria Math" w:hAnsi="Cambria Math"/>
              </w:rPr>
              <m:t>J</m:t>
            </m:r>
          </m:e>
          <m:sub>
            <m:r>
              <w:rPr>
                <w:rFonts w:ascii="Cambria Math" w:hAnsi="Cambria Math"/>
              </w:rPr>
              <m:t>c</m:t>
            </m:r>
          </m:sub>
        </m:sSub>
        <m:sSub>
          <m:sSubPr>
            <m:ctrlPr>
              <w:rPr>
                <w:rFonts w:ascii="Cambria Math" w:hAnsi="Cambria Math"/>
                <w:i/>
              </w:rPr>
            </m:ctrlPr>
          </m:sSubPr>
          <m:e>
            <m:r>
              <w:rPr>
                <w:rFonts w:ascii="Cambria Math" w:hAnsi="Cambria Math"/>
              </w:rPr>
              <m:t>A</m:t>
            </m:r>
          </m:e>
          <m:sub>
            <m:r>
              <w:rPr>
                <w:rFonts w:ascii="Cambria Math" w:hAnsi="Cambria Math"/>
              </w:rPr>
              <m:t>V</m:t>
            </m:r>
          </m:sub>
        </m:sSub>
      </m:oMath>
    </w:p>
    <w:p w:rsidR="00851CA0" w:rsidRDefault="00851CA0" w:rsidP="00851CA0">
      <w:pPr>
        <w:pStyle w:val="MDPI31text"/>
      </w:pPr>
      <w:r>
        <w:t xml:space="preserve">where </w:t>
      </w:r>
      <w:r>
        <w:rPr>
          <w:rFonts w:ascii="Cambria Math" w:hAnsi="Cambria Math" w:cs="Cambria Math"/>
        </w:rPr>
        <w:t>∅</w:t>
      </w:r>
      <w:r>
        <w:t xml:space="preserve"> is the exchange potential, </w:t>
      </w:r>
      <w:proofErr w:type="spellStart"/>
      <w:r>
        <w:t>i</w:t>
      </w:r>
      <w:proofErr w:type="spellEnd"/>
      <w:r>
        <w:t xml:space="preserve"> – ionic, e – electronic, </w:t>
      </w:r>
      <w:proofErr w:type="spellStart"/>
      <w:r>
        <w:t>el</w:t>
      </w:r>
      <w:proofErr w:type="spellEnd"/>
      <w:r>
        <w:t xml:space="preserve"> – electrolyte, V; </w:t>
      </w:r>
      <m:oMath>
        <m:sSub>
          <m:sSubPr>
            <m:ctrlPr>
              <w:rPr>
                <w:rFonts w:ascii="Cambria Math" w:hAnsi="Cambria Math"/>
                <w:i/>
              </w:rPr>
            </m:ctrlPr>
          </m:sSubPr>
          <m:e>
            <m:r>
              <w:rPr>
                <w:rFonts w:ascii="Cambria Math" w:hAnsi="Cambria Math"/>
              </w:rPr>
              <m:t>σ</m:t>
            </m:r>
          </m:e>
          <m:sub>
            <m:r>
              <w:rPr>
                <w:rFonts w:ascii="Cambria Math" w:hAnsi="Cambria Math"/>
              </w:rPr>
              <m:t>a</m:t>
            </m:r>
          </m:sub>
        </m:sSub>
      </m:oMath>
      <w:r w:rsidR="00203CAC">
        <w:t xml:space="preserve"> </w:t>
      </w:r>
      <w:r>
        <w:t xml:space="preserve">and </w:t>
      </w:r>
      <m:oMath>
        <m:sSub>
          <m:sSubPr>
            <m:ctrlPr>
              <w:rPr>
                <w:rFonts w:ascii="Cambria Math" w:hAnsi="Cambria Math"/>
                <w:i/>
              </w:rPr>
            </m:ctrlPr>
          </m:sSubPr>
          <m:e>
            <m:r>
              <w:rPr>
                <w:rFonts w:ascii="Cambria Math" w:hAnsi="Cambria Math"/>
              </w:rPr>
              <m:t>σ</m:t>
            </m:r>
          </m:e>
          <m:sub>
            <m:r>
              <w:rPr>
                <w:rFonts w:ascii="Cambria Math" w:hAnsi="Cambria Math"/>
              </w:rPr>
              <m:t>c</m:t>
            </m:r>
          </m:sub>
        </m:sSub>
      </m:oMath>
      <w:r w:rsidR="00203CAC">
        <w:t xml:space="preserve"> </w:t>
      </w:r>
      <w:r>
        <w:t xml:space="preserve">are the electrical conductivity of the anode and cathode, respectively, S/m; </w:t>
      </w:r>
      <m:oMath>
        <m:sSub>
          <m:sSubPr>
            <m:ctrlPr>
              <w:rPr>
                <w:rFonts w:ascii="Cambria Math" w:hAnsi="Cambria Math"/>
                <w:i/>
              </w:rPr>
            </m:ctrlPr>
          </m:sSubPr>
          <m:e>
            <m:r>
              <w:rPr>
                <w:rFonts w:ascii="Cambria Math" w:hAnsi="Cambria Math"/>
              </w:rPr>
              <m:t>J</m:t>
            </m:r>
          </m:e>
          <m:sub>
            <m:r>
              <w:rPr>
                <w:rFonts w:ascii="Cambria Math" w:hAnsi="Cambria Math"/>
              </w:rPr>
              <m:t>a</m:t>
            </m:r>
          </m:sub>
        </m:sSub>
      </m:oMath>
      <w:r w:rsidR="00203CAC">
        <w:t xml:space="preserve"> </w:t>
      </w:r>
      <w:r>
        <w:t xml:space="preserve">and </w:t>
      </w:r>
      <m:oMath>
        <m:sSub>
          <m:sSubPr>
            <m:ctrlPr>
              <w:rPr>
                <w:rFonts w:ascii="Cambria Math" w:hAnsi="Cambria Math"/>
                <w:i/>
              </w:rPr>
            </m:ctrlPr>
          </m:sSubPr>
          <m:e>
            <m:r>
              <w:rPr>
                <w:rFonts w:ascii="Cambria Math" w:hAnsi="Cambria Math"/>
              </w:rPr>
              <m:t>J</m:t>
            </m:r>
          </m:e>
          <m:sub>
            <m:r>
              <w:rPr>
                <w:rFonts w:ascii="Cambria Math" w:hAnsi="Cambria Math"/>
              </w:rPr>
              <m:t>c</m:t>
            </m:r>
          </m:sub>
        </m:sSub>
      </m:oMath>
      <w:r>
        <w:t xml:space="preserve"> are the current densities of the anode and cathode, respectively, A/m</w:t>
      </w:r>
      <w:r w:rsidRPr="00203CAC">
        <w:rPr>
          <w:vertAlign w:val="superscript"/>
        </w:rPr>
        <w:t>2</w:t>
      </w:r>
      <w:r>
        <w:t xml:space="preserve">; </w:t>
      </w:r>
      <m:oMath>
        <m:sSub>
          <m:sSubPr>
            <m:ctrlPr>
              <w:rPr>
                <w:rFonts w:ascii="Cambria Math" w:hAnsi="Cambria Math"/>
                <w:i/>
              </w:rPr>
            </m:ctrlPr>
          </m:sSubPr>
          <m:e>
            <m:r>
              <w:rPr>
                <w:rFonts w:ascii="Cambria Math" w:hAnsi="Cambria Math"/>
              </w:rPr>
              <m:t>A</m:t>
            </m:r>
          </m:e>
          <m:sub>
            <m:r>
              <w:rPr>
                <w:rFonts w:ascii="Cambria Math" w:hAnsi="Cambria Math"/>
              </w:rPr>
              <m:t>V</m:t>
            </m:r>
          </m:sub>
        </m:sSub>
      </m:oMath>
      <w:r w:rsidR="00203CAC">
        <w:t xml:space="preserve"> </w:t>
      </w:r>
      <w:r>
        <w:t>is the reaction area per unit volume, m</w:t>
      </w:r>
      <w:r w:rsidRPr="00203CAC">
        <w:rPr>
          <w:vertAlign w:val="superscript"/>
        </w:rPr>
        <w:t>2</w:t>
      </w:r>
      <w:r>
        <w:t>/m</w:t>
      </w:r>
      <w:r w:rsidRPr="00203CAC">
        <w:rPr>
          <w:vertAlign w:val="superscript"/>
        </w:rPr>
        <w:t>3</w:t>
      </w:r>
      <w:r>
        <w:t>.</w:t>
      </w:r>
    </w:p>
    <w:p w:rsidR="00851CA0" w:rsidRDefault="00851CA0" w:rsidP="00851CA0">
      <w:pPr>
        <w:pStyle w:val="MDPI31text"/>
      </w:pPr>
      <w:r>
        <w:t>The cell voltage can be calculated using the following equation:</w:t>
      </w:r>
    </w:p>
    <w:p w:rsidR="00851CA0" w:rsidRPr="00203CAC" w:rsidRDefault="00851CA0" w:rsidP="00851CA0">
      <w:pPr>
        <w:pStyle w:val="MDPI31text"/>
        <w:rPr>
          <w:i/>
          <w:iCs/>
        </w:rPr>
      </w:pPr>
      <w:proofErr w:type="spellStart"/>
      <w:r w:rsidRPr="00203CAC">
        <w:rPr>
          <w:i/>
          <w:iCs/>
        </w:rPr>
        <w:t>V</w:t>
      </w:r>
      <w:r w:rsidRPr="00203CAC">
        <w:rPr>
          <w:i/>
          <w:iCs/>
          <w:vertAlign w:val="subscript"/>
        </w:rPr>
        <w:t>сell</w:t>
      </w:r>
      <w:proofErr w:type="spellEnd"/>
      <w:r w:rsidRPr="00203CAC">
        <w:rPr>
          <w:i/>
          <w:iCs/>
        </w:rPr>
        <w:t xml:space="preserve"> = Е</w:t>
      </w:r>
      <w:r w:rsidRPr="00203CAC">
        <w:rPr>
          <w:i/>
          <w:iCs/>
          <w:vertAlign w:val="subscript"/>
        </w:rPr>
        <w:t>N</w:t>
      </w:r>
      <w:r w:rsidRPr="00203CAC">
        <w:rPr>
          <w:i/>
          <w:iCs/>
        </w:rPr>
        <w:t xml:space="preserve"> – </w:t>
      </w:r>
      <w:proofErr w:type="spellStart"/>
      <w:r w:rsidRPr="00203CAC">
        <w:rPr>
          <w:i/>
          <w:iCs/>
        </w:rPr>
        <w:t>ŋ</w:t>
      </w:r>
      <w:r w:rsidRPr="00203CAC">
        <w:rPr>
          <w:i/>
          <w:iCs/>
          <w:vertAlign w:val="subscript"/>
        </w:rPr>
        <w:t>ohm</w:t>
      </w:r>
      <w:proofErr w:type="spellEnd"/>
      <w:r w:rsidRPr="00203CAC">
        <w:rPr>
          <w:i/>
          <w:iCs/>
        </w:rPr>
        <w:t xml:space="preserve"> – </w:t>
      </w:r>
      <w:proofErr w:type="spellStart"/>
      <w:r w:rsidRPr="00203CAC">
        <w:rPr>
          <w:i/>
          <w:iCs/>
        </w:rPr>
        <w:t>ŋ</w:t>
      </w:r>
      <w:r w:rsidRPr="00203CAC">
        <w:rPr>
          <w:i/>
          <w:iCs/>
          <w:vertAlign w:val="subscript"/>
        </w:rPr>
        <w:t>act</w:t>
      </w:r>
      <w:proofErr w:type="spellEnd"/>
      <w:r w:rsidRPr="00203CAC">
        <w:rPr>
          <w:i/>
          <w:iCs/>
        </w:rPr>
        <w:t xml:space="preserve"> – </w:t>
      </w:r>
      <w:proofErr w:type="spellStart"/>
      <w:r w:rsidRPr="00203CAC">
        <w:rPr>
          <w:i/>
          <w:iCs/>
        </w:rPr>
        <w:t>ŋ</w:t>
      </w:r>
      <w:r w:rsidRPr="00203CAC">
        <w:rPr>
          <w:i/>
          <w:iCs/>
          <w:vertAlign w:val="subscript"/>
        </w:rPr>
        <w:t>con</w:t>
      </w:r>
      <w:proofErr w:type="spellEnd"/>
    </w:p>
    <w:p w:rsidR="00851CA0" w:rsidRDefault="00851CA0" w:rsidP="00851CA0">
      <w:pPr>
        <w:pStyle w:val="MDPI31text"/>
      </w:pPr>
      <w:r>
        <w:t>where Е</w:t>
      </w:r>
      <w:r w:rsidRPr="00203CAC">
        <w:rPr>
          <w:vertAlign w:val="subscript"/>
        </w:rPr>
        <w:t>N</w:t>
      </w:r>
      <w:r>
        <w:t xml:space="preserve"> is the Nernst voltage (open circuit voltage), V; </w:t>
      </w:r>
      <w:proofErr w:type="spellStart"/>
      <w:r w:rsidRPr="00203CAC">
        <w:rPr>
          <w:i/>
          <w:iCs/>
        </w:rPr>
        <w:t>ŋ</w:t>
      </w:r>
      <w:r w:rsidRPr="00203CAC">
        <w:rPr>
          <w:i/>
          <w:iCs/>
          <w:vertAlign w:val="subscript"/>
        </w:rPr>
        <w:t>ohm</w:t>
      </w:r>
      <w:proofErr w:type="spellEnd"/>
      <w:r w:rsidRPr="00203CAC">
        <w:rPr>
          <w:i/>
          <w:iCs/>
        </w:rPr>
        <w:t xml:space="preserve">, </w:t>
      </w:r>
      <w:proofErr w:type="spellStart"/>
      <w:r w:rsidRPr="00203CAC">
        <w:rPr>
          <w:i/>
          <w:iCs/>
        </w:rPr>
        <w:t>ŋ</w:t>
      </w:r>
      <w:r w:rsidRPr="00203CAC">
        <w:rPr>
          <w:i/>
          <w:iCs/>
          <w:vertAlign w:val="subscript"/>
        </w:rPr>
        <w:t>act</w:t>
      </w:r>
      <w:proofErr w:type="spellEnd"/>
      <w:r w:rsidRPr="00203CAC">
        <w:rPr>
          <w:i/>
          <w:iCs/>
        </w:rPr>
        <w:t xml:space="preserve">, </w:t>
      </w:r>
      <w:proofErr w:type="spellStart"/>
      <w:r w:rsidRPr="00203CAC">
        <w:rPr>
          <w:i/>
          <w:iCs/>
        </w:rPr>
        <w:t>ŋ</w:t>
      </w:r>
      <w:r w:rsidRPr="00203CAC">
        <w:rPr>
          <w:i/>
          <w:iCs/>
          <w:vertAlign w:val="subscript"/>
        </w:rPr>
        <w:t>con</w:t>
      </w:r>
      <w:proofErr w:type="spellEnd"/>
      <w:r>
        <w:t xml:space="preserve"> are the ohmic, activation, concentration </w:t>
      </w:r>
      <w:proofErr w:type="spellStart"/>
      <w:r>
        <w:t>overvoltages</w:t>
      </w:r>
      <w:proofErr w:type="spellEnd"/>
      <w:r>
        <w:t>, respectively.</w:t>
      </w:r>
    </w:p>
    <w:p w:rsidR="00D664F2" w:rsidRDefault="00851CA0" w:rsidP="00851CA0">
      <w:pPr>
        <w:pStyle w:val="MDPI31text"/>
      </w:pPr>
      <w:r>
        <w:t>The value of the Nernst voltage is related to the composition of the gas, operating pressure, operating temperature and is determined by the equation:</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D664F2" w:rsidRPr="00AD6DF9" w:rsidTr="004936C5">
        <w:tc>
          <w:tcPr>
            <w:tcW w:w="7428" w:type="dxa"/>
          </w:tcPr>
          <w:p w:rsidR="00D664F2" w:rsidRPr="003030D2" w:rsidRDefault="00C84C0A" w:rsidP="004936C5">
            <w:pPr>
              <w:pStyle w:val="MDPI39equation"/>
            </w:pPr>
            <w:r w:rsidRPr="00C84C0A">
              <w:rPr>
                <w:rFonts w:ascii="Cambria Math" w:hAnsi="Cambria Math"/>
                <w:noProof/>
                <w:snapToGrid/>
                <w:position w:val="-36"/>
              </w:rPr>
              <w:object w:dxaOrig="3080" w:dyaOrig="840">
                <v:shape id="_x0000_i1032" type="#_x0000_t75" alt="" style="width:154.45pt;height:42.55pt;mso-width-percent:0;mso-height-percent:0;mso-width-percent:0;mso-height-percent:0" o:ole="">
                  <v:imagedata r:id="rId21" o:title=""/>
                </v:shape>
                <o:OLEObject Type="Embed" ProgID="Equation.DSMT4" ShapeID="_x0000_i1032" DrawAspect="Content" ObjectID="_1748015304" r:id="rId22"/>
              </w:object>
            </w:r>
            <w:r w:rsidR="00AC5E69">
              <w:rPr>
                <w:rFonts w:ascii="Cambria Math" w:hAnsi="Cambria Math"/>
              </w:rPr>
              <w:t>,</w:t>
            </w:r>
          </w:p>
        </w:tc>
        <w:tc>
          <w:tcPr>
            <w:tcW w:w="431" w:type="dxa"/>
            <w:vAlign w:val="center"/>
          </w:tcPr>
          <w:p w:rsidR="00D664F2" w:rsidRPr="003030D2" w:rsidRDefault="00D664F2" w:rsidP="004936C5">
            <w:pPr>
              <w:pStyle w:val="MDPI3aequationnumber"/>
              <w:spacing w:line="260" w:lineRule="atLeast"/>
            </w:pPr>
            <w:r w:rsidRPr="003030D2">
              <w:t>(</w:t>
            </w:r>
            <w:r>
              <w:t>8</w:t>
            </w:r>
            <w:r w:rsidRPr="003030D2">
              <w:t>)</w:t>
            </w:r>
          </w:p>
        </w:tc>
      </w:tr>
    </w:tbl>
    <w:p w:rsidR="00C97B84" w:rsidRDefault="00C97B84" w:rsidP="00C97B84">
      <w:pPr>
        <w:pStyle w:val="MDPI31text"/>
      </w:pPr>
      <w:r>
        <w:t>where T is the temperature, K; Р is the pressure, Pa; R is the gas constant, J/</w:t>
      </w:r>
      <w:proofErr w:type="spellStart"/>
      <w:r>
        <w:t>mol·K</w:t>
      </w:r>
      <w:proofErr w:type="spellEnd"/>
      <w:r>
        <w:t>; F is the Faraday constant, C/mol; ∆G is the Gibbs energy, J.</w:t>
      </w:r>
    </w:p>
    <w:p w:rsidR="00D664F2" w:rsidRDefault="00C97B84" w:rsidP="00C97B84">
      <w:pPr>
        <w:pStyle w:val="MDPI31text"/>
      </w:pPr>
      <w:r>
        <w:t>The activation voltage loss is calculated using the Butler-Volmer equation:</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D664F2" w:rsidRPr="00AD6DF9" w:rsidTr="004936C5">
        <w:tc>
          <w:tcPr>
            <w:tcW w:w="7428" w:type="dxa"/>
          </w:tcPr>
          <w:p w:rsidR="00D664F2" w:rsidRPr="003030D2" w:rsidRDefault="00C84C0A" w:rsidP="004936C5">
            <w:pPr>
              <w:pStyle w:val="MDPI39equation"/>
            </w:pPr>
            <w:r w:rsidRPr="00C84C0A">
              <w:rPr>
                <w:rFonts w:ascii="Cambria Math" w:eastAsiaTheme="minorEastAsia" w:hAnsi="Cambria Math"/>
                <w:noProof/>
                <w:snapToGrid/>
                <w:position w:val="-34"/>
              </w:rPr>
              <w:object w:dxaOrig="4000" w:dyaOrig="800">
                <v:shape id="_x0000_i1031" type="#_x0000_t75" alt="" style="width:200.3pt;height:38.6pt;mso-width-percent:0;mso-height-percent:0;mso-width-percent:0;mso-height-percent:0" o:ole="">
                  <v:imagedata r:id="rId23" o:title=""/>
                </v:shape>
                <o:OLEObject Type="Embed" ProgID="Equation.DSMT4" ShapeID="_x0000_i1031" DrawAspect="Content" ObjectID="_1748015305" r:id="rId24"/>
              </w:object>
            </w:r>
            <w:r w:rsidR="00AC5E69">
              <w:rPr>
                <w:rFonts w:ascii="Cambria Math" w:eastAsiaTheme="minorEastAsia" w:hAnsi="Cambria Math"/>
              </w:rPr>
              <w:t>,</w:t>
            </w:r>
            <w:r w:rsidR="00D664F2">
              <w:rPr>
                <w:rFonts w:ascii="Cambria Math" w:eastAsiaTheme="minorEastAsia" w:hAnsi="Cambria Math"/>
              </w:rPr>
              <w:tab/>
            </w:r>
            <w:r w:rsidR="00D664F2">
              <w:rPr>
                <w:rFonts w:ascii="Cambria Math" w:eastAsiaTheme="minorEastAsia" w:hAnsi="Cambria Math"/>
              </w:rPr>
              <w:tab/>
            </w:r>
          </w:p>
        </w:tc>
        <w:tc>
          <w:tcPr>
            <w:tcW w:w="431" w:type="dxa"/>
            <w:vAlign w:val="center"/>
          </w:tcPr>
          <w:p w:rsidR="00D664F2" w:rsidRPr="003030D2" w:rsidRDefault="00D664F2" w:rsidP="004936C5">
            <w:pPr>
              <w:pStyle w:val="MDPI3aequationnumber"/>
              <w:spacing w:line="260" w:lineRule="atLeast"/>
            </w:pPr>
            <w:r w:rsidRPr="003030D2">
              <w:t>(</w:t>
            </w:r>
            <w:r>
              <w:t>9</w:t>
            </w:r>
            <w:r w:rsidRPr="003030D2">
              <w:t>)</w:t>
            </w:r>
          </w:p>
        </w:tc>
      </w:tr>
    </w:tbl>
    <w:p w:rsidR="00C97B84" w:rsidRDefault="00C97B84" w:rsidP="00C97B84">
      <w:pPr>
        <w:pStyle w:val="MDPI31text"/>
      </w:pPr>
      <w:r>
        <w:t xml:space="preserve">where I </w:t>
      </w:r>
      <w:proofErr w:type="gramStart"/>
      <w:r>
        <w:t>is</w:t>
      </w:r>
      <w:proofErr w:type="gramEnd"/>
      <w:r>
        <w:t xml:space="preserve"> the current density on the electrodes, A/m</w:t>
      </w:r>
      <w:r w:rsidRPr="00C97B84">
        <w:rPr>
          <w:vertAlign w:val="superscript"/>
        </w:rPr>
        <w:t>2</w:t>
      </w:r>
    </w:p>
    <w:p w:rsidR="00C97B84" w:rsidRDefault="00C97B84" w:rsidP="00C97B84">
      <w:pPr>
        <w:pStyle w:val="MDPI31text"/>
      </w:pPr>
      <w:r w:rsidRPr="00C97B84">
        <w:rPr>
          <w:i/>
          <w:iCs/>
        </w:rPr>
        <w:t>J</w:t>
      </w:r>
      <w:r w:rsidRPr="00C97B84">
        <w:rPr>
          <w:vertAlign w:val="subscript"/>
        </w:rPr>
        <w:t>0</w:t>
      </w:r>
      <w:r>
        <w:t xml:space="preserve"> – exchange current density, A/m</w:t>
      </w:r>
      <w:r w:rsidRPr="00C97B84">
        <w:rPr>
          <w:vertAlign w:val="superscript"/>
        </w:rPr>
        <w:t>2</w:t>
      </w:r>
      <w:r>
        <w:t xml:space="preserve"> </w:t>
      </w:r>
    </w:p>
    <w:p w:rsidR="00C97B84" w:rsidRDefault="00C97B84" w:rsidP="00C97B84">
      <w:pPr>
        <w:pStyle w:val="MDPI31text"/>
      </w:pPr>
      <w:r w:rsidRPr="00C97B84">
        <w:rPr>
          <w:i/>
          <w:iCs/>
        </w:rPr>
        <w:t>a</w:t>
      </w:r>
      <w:r>
        <w:t xml:space="preserve"> – charge transfer coefficient</w:t>
      </w:r>
    </w:p>
    <w:p w:rsidR="00C97B84" w:rsidRDefault="00C97B84" w:rsidP="00C97B84">
      <w:pPr>
        <w:pStyle w:val="MDPI31text"/>
      </w:pPr>
      <w:r w:rsidRPr="00C97B84">
        <w:rPr>
          <w:i/>
          <w:iCs/>
        </w:rPr>
        <w:t>z</w:t>
      </w:r>
      <w:r>
        <w:t xml:space="preserve"> — number of electrons</w:t>
      </w:r>
    </w:p>
    <w:p w:rsidR="00D664F2" w:rsidRDefault="00C97B84" w:rsidP="00C97B84">
      <w:pPr>
        <w:pStyle w:val="MDPI31text"/>
      </w:pPr>
      <w:r>
        <w:t>Concentration voltage loss is determined by the equation:</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D664F2" w:rsidRPr="00AD6DF9" w:rsidTr="004936C5">
        <w:tc>
          <w:tcPr>
            <w:tcW w:w="7428" w:type="dxa"/>
          </w:tcPr>
          <w:p w:rsidR="00D664F2" w:rsidRPr="003030D2" w:rsidRDefault="00C84C0A" w:rsidP="004936C5">
            <w:pPr>
              <w:pStyle w:val="MDPI39equation"/>
            </w:pPr>
            <w:r w:rsidRPr="00C84C0A">
              <w:rPr>
                <w:rFonts w:ascii="Cambria Math" w:eastAsiaTheme="minorEastAsia" w:hAnsi="Cambria Math"/>
                <w:noProof/>
                <w:snapToGrid/>
                <w:position w:val="-32"/>
              </w:rPr>
              <w:object w:dxaOrig="2040" w:dyaOrig="760">
                <v:shape id="_x0000_i1030" type="#_x0000_t75" alt="" style="width:102.1pt;height:38.6pt;mso-width-percent:0;mso-height-percent:0;mso-width-percent:0;mso-height-percent:0" o:ole="">
                  <v:imagedata r:id="rId25" o:title=""/>
                </v:shape>
                <o:OLEObject Type="Embed" ProgID="Equation.DSMT4" ShapeID="_x0000_i1030" DrawAspect="Content" ObjectID="_1748015306" r:id="rId26"/>
              </w:object>
            </w:r>
            <w:r w:rsidR="00AC5E69">
              <w:rPr>
                <w:rFonts w:ascii="Cambria Math" w:eastAsiaTheme="minorEastAsia" w:hAnsi="Cambria Math"/>
              </w:rPr>
              <w:t>,</w:t>
            </w:r>
          </w:p>
        </w:tc>
        <w:tc>
          <w:tcPr>
            <w:tcW w:w="431" w:type="dxa"/>
            <w:vAlign w:val="center"/>
          </w:tcPr>
          <w:p w:rsidR="00D664F2" w:rsidRPr="003030D2" w:rsidRDefault="00D664F2" w:rsidP="004936C5">
            <w:pPr>
              <w:pStyle w:val="MDPI3aequationnumber"/>
              <w:spacing w:line="260" w:lineRule="atLeast"/>
            </w:pPr>
            <w:r w:rsidRPr="003030D2">
              <w:t>(1</w:t>
            </w:r>
            <w:r w:rsidR="003C087C">
              <w:t>0</w:t>
            </w:r>
            <w:r w:rsidRPr="003030D2">
              <w:t>)</w:t>
            </w:r>
          </w:p>
        </w:tc>
      </w:tr>
    </w:tbl>
    <w:p w:rsidR="00C97B84" w:rsidRDefault="00C97B84" w:rsidP="00C97B84">
      <w:pPr>
        <w:pStyle w:val="MDPI31text"/>
      </w:pPr>
      <w:r>
        <w:t xml:space="preserve">where </w:t>
      </w:r>
      <w:r w:rsidRPr="0083679D">
        <w:rPr>
          <w:i/>
          <w:iCs/>
        </w:rPr>
        <w:t>I</w:t>
      </w:r>
      <w:r w:rsidRPr="0083679D">
        <w:rPr>
          <w:i/>
          <w:iCs/>
          <w:vertAlign w:val="subscript"/>
        </w:rPr>
        <w:t>L</w:t>
      </w:r>
      <w:r>
        <w:t xml:space="preserve"> is the limiting current density, A/m</w:t>
      </w:r>
      <w:r w:rsidRPr="0083679D">
        <w:rPr>
          <w:vertAlign w:val="superscript"/>
        </w:rPr>
        <w:t>2</w:t>
      </w:r>
    </w:p>
    <w:p w:rsidR="00D664F2" w:rsidRDefault="00C97B84" w:rsidP="00C97B84">
      <w:pPr>
        <w:pStyle w:val="MDPI31text"/>
      </w:pPr>
      <w:r>
        <w:t>Finally, the ohmic voltage loss is described as follows:</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D664F2" w:rsidRPr="00AD6DF9" w:rsidTr="004936C5">
        <w:tc>
          <w:tcPr>
            <w:tcW w:w="7428" w:type="dxa"/>
          </w:tcPr>
          <w:p w:rsidR="00D664F2" w:rsidRPr="003030D2" w:rsidRDefault="00C84C0A" w:rsidP="004936C5">
            <w:pPr>
              <w:pStyle w:val="MDPI39equation"/>
            </w:pPr>
            <w:r w:rsidRPr="00C84C0A">
              <w:rPr>
                <w:rFonts w:ascii="Cambria Math" w:eastAsiaTheme="minorEastAsia" w:hAnsi="Cambria Math"/>
                <w:noProof/>
                <w:snapToGrid/>
                <w:position w:val="-36"/>
              </w:rPr>
              <w:object w:dxaOrig="3220" w:dyaOrig="840">
                <v:shape id="_x0000_i1029" type="#_x0000_t75" alt="" style="width:160.35pt;height:42.55pt;mso-width-percent:0;mso-height-percent:0;mso-width-percent:0;mso-height-percent:0" o:ole="">
                  <v:imagedata r:id="rId27" o:title=""/>
                </v:shape>
                <o:OLEObject Type="Embed" ProgID="Equation.DSMT4" ShapeID="_x0000_i1029" DrawAspect="Content" ObjectID="_1748015307" r:id="rId28"/>
              </w:object>
            </w:r>
            <w:r w:rsidR="00AC5E69">
              <w:rPr>
                <w:rFonts w:ascii="Cambria Math" w:eastAsiaTheme="minorEastAsia" w:hAnsi="Cambria Math"/>
              </w:rPr>
              <w:t>,</w:t>
            </w:r>
            <w:r w:rsidR="003C087C">
              <w:rPr>
                <w:rFonts w:ascii="Cambria Math" w:eastAsiaTheme="minorEastAsia" w:hAnsi="Cambria Math"/>
              </w:rPr>
              <w:tab/>
            </w:r>
          </w:p>
        </w:tc>
        <w:tc>
          <w:tcPr>
            <w:tcW w:w="431" w:type="dxa"/>
            <w:vAlign w:val="center"/>
          </w:tcPr>
          <w:p w:rsidR="00D664F2" w:rsidRPr="003030D2" w:rsidRDefault="00D664F2" w:rsidP="004936C5">
            <w:pPr>
              <w:pStyle w:val="MDPI3aequationnumber"/>
              <w:spacing w:line="260" w:lineRule="atLeast"/>
            </w:pPr>
            <w:r w:rsidRPr="003030D2">
              <w:t>(1</w:t>
            </w:r>
            <w:r w:rsidR="003C087C">
              <w:t>1</w:t>
            </w:r>
            <w:r w:rsidRPr="003030D2">
              <w:t>)</w:t>
            </w:r>
          </w:p>
        </w:tc>
      </w:tr>
    </w:tbl>
    <w:p w:rsidR="0083679D" w:rsidRDefault="0083679D" w:rsidP="0083679D">
      <w:pPr>
        <w:pStyle w:val="MDPI31text"/>
      </w:pPr>
      <w:r>
        <w:t xml:space="preserve">where </w:t>
      </w:r>
      <w:r w:rsidRPr="0083679D">
        <w:rPr>
          <w:i/>
          <w:iCs/>
        </w:rPr>
        <w:t>T</w:t>
      </w:r>
      <w:r w:rsidRPr="0083679D">
        <w:rPr>
          <w:i/>
          <w:iCs/>
          <w:vertAlign w:val="subscript"/>
        </w:rPr>
        <w:t>0</w:t>
      </w:r>
      <w:r>
        <w:t xml:space="preserve">, </w:t>
      </w:r>
      <w:r w:rsidRPr="0083679D">
        <w:rPr>
          <w:i/>
          <w:iCs/>
        </w:rPr>
        <w:t>δ</w:t>
      </w:r>
      <w:r>
        <w:t xml:space="preserve"> and </w:t>
      </w:r>
      <w:r w:rsidRPr="0083679D">
        <w:rPr>
          <w:i/>
          <w:iCs/>
        </w:rPr>
        <w:t>γ</w:t>
      </w:r>
      <w:r>
        <w:t xml:space="preserve"> are SOFC constant coefficients; </w:t>
      </w:r>
      <w:r w:rsidRPr="0083679D">
        <w:rPr>
          <w:i/>
          <w:iCs/>
        </w:rPr>
        <w:t>δ</w:t>
      </w:r>
      <w:r>
        <w:t xml:space="preserve"> and </w:t>
      </w:r>
      <w:r w:rsidRPr="0083679D">
        <w:rPr>
          <w:i/>
          <w:iCs/>
        </w:rPr>
        <w:t>γ</w:t>
      </w:r>
      <w:r>
        <w:t xml:space="preserve"> are the internal resistances; r is the total resistance of the SOFC.</w:t>
      </w:r>
    </w:p>
    <w:p w:rsidR="0083679D" w:rsidRDefault="0083679D" w:rsidP="0083679D">
      <w:pPr>
        <w:pStyle w:val="MDPI31text"/>
      </w:pPr>
      <w:r>
        <w:t>When using synthesis gas that contains methane or carbon monoxide, a rather low electrochemical CH</w:t>
      </w:r>
      <w:r w:rsidRPr="0083679D">
        <w:rPr>
          <w:vertAlign w:val="subscript"/>
        </w:rPr>
        <w:t>4</w:t>
      </w:r>
      <w:r>
        <w:t xml:space="preserve"> conversion rate and a fast steam shift reaction at the SOFC operating temperature with the formation of CO/H</w:t>
      </w:r>
      <w:r w:rsidRPr="0083679D">
        <w:rPr>
          <w:vertAlign w:val="subscript"/>
        </w:rPr>
        <w:t>2</w:t>
      </w:r>
      <w:r>
        <w:t xml:space="preserve"> and CO</w:t>
      </w:r>
      <w:r w:rsidRPr="0083679D">
        <w:rPr>
          <w:vertAlign w:val="subscript"/>
        </w:rPr>
        <w:t>2</w:t>
      </w:r>
      <w:r>
        <w:t>/H</w:t>
      </w:r>
      <w:r w:rsidRPr="0083679D">
        <w:rPr>
          <w:vertAlign w:val="subscript"/>
        </w:rPr>
        <w:t>2</w:t>
      </w:r>
      <w:r>
        <w:t xml:space="preserve">O are noted, which almost instantly come into equilibrium. Thus, the electrochemical conversion of CO is indirectly modeled </w:t>
      </w:r>
      <w:r>
        <w:lastRenderedPageBreak/>
        <w:t>by the additional electrochemical conversion of hydrogen and includes the rate of the carbon monoxide conversion reaction.</w:t>
      </w:r>
    </w:p>
    <w:p w:rsidR="00D664F2" w:rsidRDefault="0083679D" w:rsidP="0083679D">
      <w:pPr>
        <w:pStyle w:val="MDPI31text"/>
      </w:pPr>
      <w:r>
        <w:t xml:space="preserve">Since the steam reforming of methane is an endothermic reaction and the electrochemical oxidation of hydrogen is an exothermic reaction, this is the main reason for the temperature gradient within the stack. The model should include the corresponding homogeneous gaseous methane steam reforming and steam shift reactions. The steam reforming reaction proceeds as a direct bulk gas reaction with a reaction rate of </w:t>
      </w:r>
      <w:r w:rsidRPr="0083679D">
        <w:rPr>
          <w:i/>
          <w:iCs/>
        </w:rPr>
        <w:t>ϑ</w:t>
      </w:r>
      <w:r w:rsidRPr="005D34AD">
        <w:rPr>
          <w:rFonts w:ascii="Cambria Math" w:hAnsi="Cambria Math" w:cs="Cambria Math"/>
        </w:rPr>
        <w:t>𝐶𝐻</w:t>
      </w:r>
      <w:r w:rsidRPr="005D34AD">
        <w:rPr>
          <w:vertAlign w:val="subscript"/>
        </w:rPr>
        <w:t>4</w:t>
      </w:r>
      <w:r w:rsidRPr="005D34AD">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D664F2" w:rsidRPr="00AD6DF9" w:rsidTr="004936C5">
        <w:tc>
          <w:tcPr>
            <w:tcW w:w="7428" w:type="dxa"/>
          </w:tcPr>
          <w:p w:rsidR="00D664F2" w:rsidRPr="003030D2" w:rsidRDefault="00C84C0A" w:rsidP="004936C5">
            <w:pPr>
              <w:pStyle w:val="MDPI39equation"/>
            </w:pPr>
            <w:r w:rsidRPr="00C84C0A">
              <w:rPr>
                <w:rFonts w:ascii="Cambria Math" w:eastAsiaTheme="minorEastAsia" w:hAnsi="Cambria Math"/>
                <w:noProof/>
                <w:snapToGrid/>
                <w:position w:val="-18"/>
              </w:rPr>
              <w:object w:dxaOrig="1440" w:dyaOrig="440">
                <v:shape id="_x0000_i1028" type="#_x0000_t75" alt="" style="width:1in;height:22.25pt;mso-width-percent:0;mso-height-percent:0;mso-width-percent:0;mso-height-percent:0" o:ole="">
                  <v:imagedata r:id="rId29" o:title=""/>
                </v:shape>
                <o:OLEObject Type="Embed" ProgID="Equation.DSMT4" ShapeID="_x0000_i1028" DrawAspect="Content" ObjectID="_1748015308" r:id="rId30"/>
              </w:object>
            </w:r>
            <w:r w:rsidR="00AC5E69">
              <w:rPr>
                <w:rFonts w:ascii="Cambria Math" w:eastAsiaTheme="minorEastAsia" w:hAnsi="Cambria Math"/>
              </w:rPr>
              <w:t>,</w:t>
            </w:r>
          </w:p>
        </w:tc>
        <w:tc>
          <w:tcPr>
            <w:tcW w:w="431" w:type="dxa"/>
            <w:vAlign w:val="center"/>
          </w:tcPr>
          <w:p w:rsidR="00D664F2" w:rsidRPr="003030D2" w:rsidRDefault="00D664F2" w:rsidP="004936C5">
            <w:pPr>
              <w:pStyle w:val="MDPI3aequationnumber"/>
              <w:spacing w:line="260" w:lineRule="atLeast"/>
            </w:pPr>
            <w:r w:rsidRPr="003030D2">
              <w:t>(1</w:t>
            </w:r>
            <w:r w:rsidR="003C087C">
              <w:t>2</w:t>
            </w:r>
            <w:r w:rsidRPr="003030D2">
              <w:t>)</w:t>
            </w:r>
          </w:p>
        </w:tc>
      </w:tr>
    </w:tbl>
    <w:p w:rsidR="0083679D" w:rsidRDefault="0083679D" w:rsidP="0083679D">
      <w:pPr>
        <w:pStyle w:val="MDPI31text"/>
      </w:pPr>
      <w:r>
        <w:t xml:space="preserve">where </w:t>
      </w:r>
      <w:r>
        <w:rPr>
          <w:rFonts w:ascii="Cambria Math" w:hAnsi="Cambria Math" w:cs="Cambria Math"/>
        </w:rPr>
        <w:t>𝑘</w:t>
      </w:r>
      <w:r>
        <w:t xml:space="preserve"> is the reaction rate constant; </w:t>
      </w:r>
      <w:r w:rsidRPr="0083679D">
        <w:rPr>
          <w:i/>
          <w:iCs/>
        </w:rPr>
        <w:t>p</w:t>
      </w:r>
      <w:r w:rsidRPr="0083679D">
        <w:rPr>
          <w:i/>
          <w:iCs/>
          <w:vertAlign w:val="subscript"/>
        </w:rPr>
        <w:t>i</w:t>
      </w:r>
      <w:r>
        <w:t xml:space="preserve"> are the partial pressures of CH</w:t>
      </w:r>
      <w:r w:rsidRPr="0083679D">
        <w:rPr>
          <w:vertAlign w:val="subscript"/>
        </w:rPr>
        <w:t>4</w:t>
      </w:r>
      <w:r>
        <w:t>, H</w:t>
      </w:r>
      <w:r w:rsidRPr="0083679D">
        <w:rPr>
          <w:vertAlign w:val="subscript"/>
        </w:rPr>
        <w:t>2</w:t>
      </w:r>
      <w:r>
        <w:t>O, H</w:t>
      </w:r>
      <w:r w:rsidRPr="0083679D">
        <w:rPr>
          <w:vertAlign w:val="subscript"/>
        </w:rPr>
        <w:t>2</w:t>
      </w:r>
      <w:r>
        <w:t>, CO.</w:t>
      </w:r>
    </w:p>
    <w:p w:rsidR="00D664F2" w:rsidRDefault="0083679D" w:rsidP="0083679D">
      <w:pPr>
        <w:pStyle w:val="MDPI31text"/>
      </w:pPr>
      <w:r>
        <w:t>The Nernst potential in a gas mixture of equilibrium composition is equivalent for each oxidation reaction under consideration, since only the gradient matters for the partial pressure of oxygen between the electrodes.</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D664F2" w:rsidRPr="00AD6DF9" w:rsidTr="004936C5">
        <w:tc>
          <w:tcPr>
            <w:tcW w:w="7428" w:type="dxa"/>
          </w:tcPr>
          <w:p w:rsidR="00D664F2" w:rsidRPr="003030D2" w:rsidRDefault="00C84C0A" w:rsidP="004936C5">
            <w:pPr>
              <w:pStyle w:val="MDPI39equation"/>
            </w:pPr>
            <w:r w:rsidRPr="00C84C0A">
              <w:rPr>
                <w:rFonts w:ascii="Times New Roman" w:hAnsi="Times New Roman"/>
                <w:noProof/>
                <w:snapToGrid/>
                <w:position w:val="-32"/>
              </w:rPr>
              <w:object w:dxaOrig="4040" w:dyaOrig="760">
                <v:shape id="_x0000_i1027" type="#_x0000_t75" alt="" style="width:202.25pt;height:38.6pt;mso-width-percent:0;mso-height-percent:0;mso-width-percent:0;mso-height-percent:0" o:ole="">
                  <v:imagedata r:id="rId31" o:title=""/>
                </v:shape>
                <o:OLEObject Type="Embed" ProgID="Equation.DSMT4" ShapeID="_x0000_i1027" DrawAspect="Content" ObjectID="_1748015309" r:id="rId32"/>
              </w:object>
            </w:r>
            <w:r w:rsidR="00D664F2" w:rsidRPr="003030D2">
              <w:t>,</w:t>
            </w:r>
          </w:p>
        </w:tc>
        <w:tc>
          <w:tcPr>
            <w:tcW w:w="431" w:type="dxa"/>
            <w:vAlign w:val="center"/>
          </w:tcPr>
          <w:p w:rsidR="00D664F2" w:rsidRPr="003030D2" w:rsidRDefault="00D664F2" w:rsidP="004936C5">
            <w:pPr>
              <w:pStyle w:val="MDPI3aequationnumber"/>
              <w:spacing w:line="260" w:lineRule="atLeast"/>
            </w:pPr>
            <w:r w:rsidRPr="003030D2">
              <w:t>(1</w:t>
            </w:r>
            <w:r w:rsidR="003C087C">
              <w:t>3</w:t>
            </w:r>
            <w:r w:rsidRPr="003030D2">
              <w:t>)</w:t>
            </w:r>
          </w:p>
        </w:tc>
      </w:tr>
    </w:tbl>
    <w:p w:rsidR="00D664F2" w:rsidRDefault="0083679D" w:rsidP="007A11D8">
      <w:pPr>
        <w:pStyle w:val="MDPI31text"/>
      </w:pPr>
      <w:r w:rsidRPr="0083679D">
        <w:t xml:space="preserve">As a consequence, the hydrogen oxidation reaction provides the same Nernst voltage </w:t>
      </w:r>
      <w:r w:rsidRPr="0083679D">
        <w:rPr>
          <w:rFonts w:ascii="Cambria Math" w:hAnsi="Cambria Math" w:cs="Cambria Math"/>
        </w:rPr>
        <w:t>𝑉</w:t>
      </w:r>
      <w:r w:rsidRPr="0083679D">
        <w:rPr>
          <w:rFonts w:ascii="Cambria Math" w:hAnsi="Cambria Math" w:cs="Cambria Math"/>
          <w:vertAlign w:val="subscript"/>
        </w:rPr>
        <w:t>𝑁</w:t>
      </w:r>
      <w:r w:rsidRPr="0083679D">
        <w:t xml:space="preserve"> as the oxidation of carbon monoxide in a gas mixture at equilibrium.</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3C087C" w:rsidRPr="00AD6DF9" w:rsidTr="004936C5">
        <w:tc>
          <w:tcPr>
            <w:tcW w:w="7428" w:type="dxa"/>
          </w:tcPr>
          <w:p w:rsidR="003C087C" w:rsidRPr="003030D2" w:rsidRDefault="00C84C0A" w:rsidP="004936C5">
            <w:pPr>
              <w:pStyle w:val="MDPI39equation"/>
            </w:pPr>
            <w:r w:rsidRPr="00C84C0A">
              <w:rPr>
                <w:rFonts w:ascii="Times New Roman" w:hAnsi="Times New Roman"/>
                <w:noProof/>
                <w:snapToGrid/>
                <w:position w:val="-32"/>
              </w:rPr>
              <w:object w:dxaOrig="3720" w:dyaOrig="760">
                <v:shape id="_x0000_i1026" type="#_x0000_t75" alt="" style="width:186.55pt;height:38.6pt;mso-width-percent:0;mso-height-percent:0;mso-width-percent:0;mso-height-percent:0" o:ole="">
                  <v:imagedata r:id="rId33" o:title=""/>
                </v:shape>
                <o:OLEObject Type="Embed" ProgID="Equation.DSMT4" ShapeID="_x0000_i1026" DrawAspect="Content" ObjectID="_1748015310" r:id="rId34"/>
              </w:object>
            </w:r>
            <w:r w:rsidR="003C087C" w:rsidRPr="003030D2">
              <w:t>,</w:t>
            </w:r>
          </w:p>
        </w:tc>
        <w:tc>
          <w:tcPr>
            <w:tcW w:w="431" w:type="dxa"/>
            <w:vAlign w:val="center"/>
          </w:tcPr>
          <w:p w:rsidR="003C087C" w:rsidRPr="003030D2" w:rsidRDefault="003C087C" w:rsidP="004936C5">
            <w:pPr>
              <w:pStyle w:val="MDPI3aequationnumber"/>
              <w:spacing w:line="260" w:lineRule="atLeast"/>
            </w:pPr>
            <w:r w:rsidRPr="003030D2">
              <w:t>(1</w:t>
            </w:r>
            <w:r>
              <w:t>4</w:t>
            </w:r>
            <w:r w:rsidRPr="003030D2">
              <w:t>)</w:t>
            </w:r>
          </w:p>
        </w:tc>
      </w:tr>
    </w:tbl>
    <w:p w:rsidR="003C087C" w:rsidRDefault="003C087C" w:rsidP="007A11D8">
      <w:pPr>
        <w:pStyle w:val="MDPI31text"/>
      </w:pP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3C087C" w:rsidRPr="00AD6DF9" w:rsidTr="004936C5">
        <w:tc>
          <w:tcPr>
            <w:tcW w:w="7428" w:type="dxa"/>
          </w:tcPr>
          <w:p w:rsidR="003C087C" w:rsidRPr="003030D2" w:rsidRDefault="00C84C0A" w:rsidP="004936C5">
            <w:pPr>
              <w:pStyle w:val="MDPI39equation"/>
            </w:pPr>
            <w:r w:rsidRPr="00C84C0A">
              <w:rPr>
                <w:rFonts w:ascii="Times New Roman" w:hAnsi="Times New Roman"/>
                <w:noProof/>
                <w:snapToGrid/>
                <w:position w:val="-32"/>
              </w:rPr>
              <w:object w:dxaOrig="3739" w:dyaOrig="760">
                <v:shape id="_x0000_i1025" type="#_x0000_t75" alt="" style="width:187.2pt;height:38.6pt;mso-width-percent:0;mso-height-percent:0;mso-width-percent:0;mso-height-percent:0" o:ole="">
                  <v:imagedata r:id="rId35" o:title=""/>
                </v:shape>
                <o:OLEObject Type="Embed" ProgID="Equation.DSMT4" ShapeID="_x0000_i1025" DrawAspect="Content" ObjectID="_1748015311" r:id="rId36"/>
              </w:object>
            </w:r>
            <w:r w:rsidR="003C087C" w:rsidRPr="003030D2">
              <w:t>,</w:t>
            </w:r>
          </w:p>
        </w:tc>
        <w:tc>
          <w:tcPr>
            <w:tcW w:w="431" w:type="dxa"/>
            <w:vAlign w:val="center"/>
          </w:tcPr>
          <w:p w:rsidR="003C087C" w:rsidRPr="003030D2" w:rsidRDefault="003C087C" w:rsidP="004936C5">
            <w:pPr>
              <w:pStyle w:val="MDPI3aequationnumber"/>
              <w:spacing w:line="260" w:lineRule="atLeast"/>
            </w:pPr>
            <w:r w:rsidRPr="003030D2">
              <w:t>(1</w:t>
            </w:r>
            <w:r>
              <w:t>5</w:t>
            </w:r>
            <w:r w:rsidRPr="003030D2">
              <w:t>)</w:t>
            </w:r>
          </w:p>
        </w:tc>
      </w:tr>
    </w:tbl>
    <w:p w:rsidR="006B57F5" w:rsidRDefault="006B57F5" w:rsidP="006B57F5">
      <w:pPr>
        <w:pStyle w:val="MDPI21heading1"/>
      </w:pPr>
      <w:r>
        <w:t xml:space="preserve">3. </w:t>
      </w:r>
      <w:r w:rsidR="005D34AD" w:rsidRPr="005D34AD">
        <w:t>Results and discussion</w:t>
      </w:r>
    </w:p>
    <w:p w:rsidR="005D34AD" w:rsidRDefault="005D34AD" w:rsidP="005D34AD">
      <w:pPr>
        <w:pStyle w:val="MDPI31text"/>
      </w:pPr>
      <w:r w:rsidRPr="005D34AD">
        <w:t>The predicted current density versus voltage (J-V) for the numerical model showed acceptable accuracy with the manufacturer's data as shown in Fig. 1. However, simulations have shown different current densities at lower voltages.</w:t>
      </w:r>
    </w:p>
    <w:p w:rsidR="005D34AD" w:rsidRDefault="005D34AD" w:rsidP="005D34AD">
      <w:pPr>
        <w:pStyle w:val="MDPI31text"/>
      </w:pPr>
    </w:p>
    <w:tbl>
      <w:tblPr>
        <w:tblW w:w="0" w:type="auto"/>
        <w:jc w:val="center"/>
        <w:tblLook w:val="0000" w:firstRow="0" w:lastRow="0" w:firstColumn="0" w:lastColumn="0" w:noHBand="0" w:noVBand="0"/>
      </w:tblPr>
      <w:tblGrid>
        <w:gridCol w:w="4386"/>
        <w:gridCol w:w="4335"/>
      </w:tblGrid>
      <w:tr w:rsidR="005D34AD" w:rsidRPr="00196D5A" w:rsidTr="004936C5">
        <w:trPr>
          <w:jc w:val="center"/>
        </w:trPr>
        <w:tc>
          <w:tcPr>
            <w:tcW w:w="4057" w:type="dxa"/>
            <w:shd w:val="clear" w:color="auto" w:fill="auto"/>
            <w:vAlign w:val="center"/>
          </w:tcPr>
          <w:p w:rsidR="005D34AD" w:rsidRPr="00196D5A" w:rsidRDefault="005D34AD" w:rsidP="004936C5">
            <w:pPr>
              <w:pStyle w:val="MDPI52figure"/>
              <w:spacing w:before="0"/>
            </w:pPr>
            <w:r w:rsidRPr="000A0181">
              <w:rPr>
                <w:rFonts w:ascii="Times New Roman" w:hAnsi="Times New Roman"/>
                <w:noProof/>
              </w:rPr>
              <w:drawing>
                <wp:inline distT="0" distB="0" distL="0" distR="0" wp14:anchorId="61B23628" wp14:editId="0CD4850F">
                  <wp:extent cx="2641600" cy="1649341"/>
                  <wp:effectExtent l="0" t="0" r="6350" b="8255"/>
                  <wp:docPr id="1952306172" name="Рисунок 1952306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691603" cy="1680562"/>
                          </a:xfrm>
                          <a:prstGeom prst="rect">
                            <a:avLst/>
                          </a:prstGeom>
                        </pic:spPr>
                      </pic:pic>
                    </a:graphicData>
                  </a:graphic>
                </wp:inline>
              </w:drawing>
            </w:r>
          </w:p>
        </w:tc>
        <w:tc>
          <w:tcPr>
            <w:tcW w:w="4268" w:type="dxa"/>
          </w:tcPr>
          <w:p w:rsidR="005D34AD" w:rsidRPr="00196D5A" w:rsidRDefault="005D34AD" w:rsidP="004936C5">
            <w:pPr>
              <w:pStyle w:val="MDPI52figure"/>
              <w:spacing w:before="0"/>
            </w:pPr>
            <w:r>
              <w:rPr>
                <w:rFonts w:ascii="Times New Roman" w:hAnsi="Times New Roman"/>
                <w:noProof/>
              </w:rPr>
              <w:drawing>
                <wp:inline distT="0" distB="0" distL="0" distR="0" wp14:anchorId="62BFE7C2" wp14:editId="772ADC7C">
                  <wp:extent cx="2615594" cy="1612900"/>
                  <wp:effectExtent l="0" t="0" r="0" b="6350"/>
                  <wp:docPr id="1124195474" name="Рисунок 1124195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Это лучше.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636786" cy="1625968"/>
                          </a:xfrm>
                          <a:prstGeom prst="rect">
                            <a:avLst/>
                          </a:prstGeom>
                        </pic:spPr>
                      </pic:pic>
                    </a:graphicData>
                  </a:graphic>
                </wp:inline>
              </w:drawing>
            </w:r>
          </w:p>
        </w:tc>
      </w:tr>
      <w:tr w:rsidR="005D34AD" w:rsidRPr="00196D5A" w:rsidTr="004936C5">
        <w:trPr>
          <w:jc w:val="center"/>
        </w:trPr>
        <w:tc>
          <w:tcPr>
            <w:tcW w:w="4057" w:type="dxa"/>
            <w:shd w:val="clear" w:color="auto" w:fill="auto"/>
            <w:vAlign w:val="center"/>
          </w:tcPr>
          <w:p w:rsidR="005D34AD" w:rsidRPr="00196D5A" w:rsidRDefault="005D34AD" w:rsidP="004936C5">
            <w:pPr>
              <w:pStyle w:val="MDPI42tablebody"/>
            </w:pPr>
            <w:r w:rsidRPr="00196D5A">
              <w:t>(</w:t>
            </w:r>
            <w:r w:rsidRPr="00BD3EAE">
              <w:rPr>
                <w:b/>
              </w:rPr>
              <w:t>a</w:t>
            </w:r>
            <w:r w:rsidRPr="00196D5A">
              <w:t>)</w:t>
            </w:r>
          </w:p>
        </w:tc>
        <w:tc>
          <w:tcPr>
            <w:tcW w:w="4268" w:type="dxa"/>
          </w:tcPr>
          <w:p w:rsidR="005D34AD" w:rsidRPr="00293811" w:rsidRDefault="005D34AD" w:rsidP="004936C5">
            <w:pPr>
              <w:pStyle w:val="MDPI42tablebody"/>
            </w:pPr>
            <w:r w:rsidRPr="00196D5A">
              <w:t>(</w:t>
            </w:r>
            <w:r w:rsidRPr="00BD3EAE">
              <w:rPr>
                <w:b/>
              </w:rPr>
              <w:t>b</w:t>
            </w:r>
            <w:r w:rsidRPr="00196D5A">
              <w:t>)</w:t>
            </w:r>
          </w:p>
        </w:tc>
      </w:tr>
    </w:tbl>
    <w:p w:rsidR="005D34AD" w:rsidRDefault="005D34AD" w:rsidP="005D34AD">
      <w:pPr>
        <w:pStyle w:val="MDPI51figurecaption"/>
        <w:jc w:val="both"/>
        <w:rPr>
          <w:color w:val="FF0000"/>
        </w:rPr>
      </w:pPr>
      <w:r w:rsidRPr="00F63A9B">
        <w:rPr>
          <w:b/>
        </w:rPr>
        <w:t xml:space="preserve">Figure </w:t>
      </w:r>
      <w:r>
        <w:rPr>
          <w:b/>
        </w:rPr>
        <w:t>1</w:t>
      </w:r>
      <w:r w:rsidRPr="00F63A9B">
        <w:rPr>
          <w:b/>
        </w:rPr>
        <w:t xml:space="preserve">. </w:t>
      </w:r>
      <w:r w:rsidRPr="005D34AD">
        <w:t>Volt-ampere characteristic for hydrogen fuel</w:t>
      </w:r>
      <w:r w:rsidRPr="00293811">
        <w:rPr>
          <w:color w:val="auto"/>
        </w:rPr>
        <w:t>. (</w:t>
      </w:r>
      <w:r w:rsidRPr="00293811">
        <w:rPr>
          <w:b/>
          <w:color w:val="auto"/>
        </w:rPr>
        <w:t>a</w:t>
      </w:r>
      <w:r w:rsidRPr="00293811">
        <w:rPr>
          <w:color w:val="auto"/>
        </w:rPr>
        <w:t xml:space="preserve">) </w:t>
      </w:r>
      <w:r w:rsidR="00293811" w:rsidRPr="00293811">
        <w:rPr>
          <w:color w:val="auto"/>
        </w:rPr>
        <w:t>SOFC model data</w:t>
      </w:r>
      <w:r w:rsidRPr="00293811">
        <w:rPr>
          <w:color w:val="auto"/>
        </w:rPr>
        <w:t>; (</w:t>
      </w:r>
      <w:r w:rsidRPr="00293811">
        <w:rPr>
          <w:b/>
          <w:color w:val="auto"/>
        </w:rPr>
        <w:t>b</w:t>
      </w:r>
      <w:r w:rsidRPr="00293811">
        <w:rPr>
          <w:color w:val="auto"/>
        </w:rPr>
        <w:t xml:space="preserve">) </w:t>
      </w:r>
      <w:r w:rsidR="00845123">
        <w:t>M</w:t>
      </w:r>
      <w:r w:rsidR="00293811">
        <w:t xml:space="preserve">anufacturer’s </w:t>
      </w:r>
      <w:r w:rsidR="00293811" w:rsidRPr="00DA4593">
        <w:rPr>
          <w:color w:val="auto"/>
        </w:rPr>
        <w:t>data</w:t>
      </w:r>
      <w:r w:rsidRPr="00DA4593">
        <w:rPr>
          <w:color w:val="auto"/>
        </w:rPr>
        <w:t>.</w:t>
      </w:r>
    </w:p>
    <w:p w:rsidR="005D34AD" w:rsidRDefault="005D34AD" w:rsidP="006A0D66">
      <w:pPr>
        <w:pStyle w:val="MDPI31text"/>
      </w:pPr>
      <w:r w:rsidRPr="005D34AD">
        <w:t xml:space="preserve">Volt-ampere characteristics for methane and synthesis gas are shown in Figures 2 a, b. At the same voltage, the maximum current density is reached for hydrogen fuel (0.22 A/cm2 at 0.6V), then it decreases slightly for synthesis gas (0.2 A/cm2 at 0.6V) and the </w:t>
      </w:r>
      <w:r w:rsidRPr="005D34AD">
        <w:lastRenderedPageBreak/>
        <w:t>lowest current density is observed for methane (0.17 A/cm2 at 0.6V). These obtained results are consistent with the data on the net calorific value of the fuel (Table 4).</w:t>
      </w:r>
    </w:p>
    <w:p w:rsidR="00FA43BB" w:rsidRDefault="00FA43BB" w:rsidP="006A0D66">
      <w:pPr>
        <w:pStyle w:val="MDPI31text"/>
      </w:pPr>
    </w:p>
    <w:tbl>
      <w:tblPr>
        <w:tblW w:w="0" w:type="auto"/>
        <w:jc w:val="center"/>
        <w:tblLook w:val="0000" w:firstRow="0" w:lastRow="0" w:firstColumn="0" w:lastColumn="0" w:noHBand="0" w:noVBand="0"/>
      </w:tblPr>
      <w:tblGrid>
        <w:gridCol w:w="4600"/>
        <w:gridCol w:w="4686"/>
      </w:tblGrid>
      <w:tr w:rsidR="005D34AD" w:rsidRPr="00196D5A" w:rsidTr="004936C5">
        <w:trPr>
          <w:jc w:val="center"/>
        </w:trPr>
        <w:tc>
          <w:tcPr>
            <w:tcW w:w="4057" w:type="dxa"/>
            <w:shd w:val="clear" w:color="auto" w:fill="auto"/>
            <w:vAlign w:val="center"/>
          </w:tcPr>
          <w:p w:rsidR="005D34AD" w:rsidRPr="00196D5A" w:rsidRDefault="00060D36" w:rsidP="004936C5">
            <w:pPr>
              <w:pStyle w:val="MDPI52figure"/>
              <w:spacing w:before="0"/>
            </w:pPr>
            <w:r w:rsidRPr="000A0181">
              <w:rPr>
                <w:rFonts w:ascii="Times New Roman" w:hAnsi="Times New Roman"/>
                <w:noProof/>
              </w:rPr>
              <w:drawing>
                <wp:inline distT="0" distB="0" distL="0" distR="0" wp14:anchorId="5761841F" wp14:editId="53167400">
                  <wp:extent cx="2784144" cy="1803222"/>
                  <wp:effectExtent l="0" t="0" r="0" b="6985"/>
                  <wp:docPr id="1597108440" name="Рисунок 1597108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804162" cy="1816187"/>
                          </a:xfrm>
                          <a:prstGeom prst="rect">
                            <a:avLst/>
                          </a:prstGeom>
                        </pic:spPr>
                      </pic:pic>
                    </a:graphicData>
                  </a:graphic>
                </wp:inline>
              </w:drawing>
            </w:r>
          </w:p>
        </w:tc>
        <w:tc>
          <w:tcPr>
            <w:tcW w:w="4268" w:type="dxa"/>
          </w:tcPr>
          <w:p w:rsidR="005D34AD" w:rsidRPr="00196D5A" w:rsidRDefault="00060D36" w:rsidP="004936C5">
            <w:pPr>
              <w:pStyle w:val="MDPI52figure"/>
              <w:spacing w:before="0"/>
            </w:pPr>
            <w:r w:rsidRPr="000A0181">
              <w:rPr>
                <w:rFonts w:ascii="Times New Roman" w:hAnsi="Times New Roman"/>
                <w:noProof/>
              </w:rPr>
              <w:drawing>
                <wp:inline distT="0" distB="0" distL="0" distR="0" wp14:anchorId="38C17269" wp14:editId="704F0A3F">
                  <wp:extent cx="2831910" cy="1834156"/>
                  <wp:effectExtent l="0" t="0" r="6985" b="0"/>
                  <wp:docPr id="1642695096" name="Рисунок 1642695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850915" cy="1846465"/>
                          </a:xfrm>
                          <a:prstGeom prst="rect">
                            <a:avLst/>
                          </a:prstGeom>
                        </pic:spPr>
                      </pic:pic>
                    </a:graphicData>
                  </a:graphic>
                </wp:inline>
              </w:drawing>
            </w:r>
          </w:p>
        </w:tc>
      </w:tr>
      <w:tr w:rsidR="005D34AD" w:rsidRPr="00196D5A" w:rsidTr="004936C5">
        <w:trPr>
          <w:jc w:val="center"/>
        </w:trPr>
        <w:tc>
          <w:tcPr>
            <w:tcW w:w="4057" w:type="dxa"/>
            <w:shd w:val="clear" w:color="auto" w:fill="auto"/>
            <w:vAlign w:val="center"/>
          </w:tcPr>
          <w:p w:rsidR="005D34AD" w:rsidRPr="00196D5A" w:rsidRDefault="005D34AD" w:rsidP="004936C5">
            <w:pPr>
              <w:pStyle w:val="MDPI42tablebody"/>
            </w:pPr>
            <w:r w:rsidRPr="00196D5A">
              <w:t>(</w:t>
            </w:r>
            <w:r w:rsidRPr="00BD3EAE">
              <w:rPr>
                <w:b/>
              </w:rPr>
              <w:t>a</w:t>
            </w:r>
            <w:r w:rsidRPr="00196D5A">
              <w:t>)</w:t>
            </w:r>
          </w:p>
        </w:tc>
        <w:tc>
          <w:tcPr>
            <w:tcW w:w="4268" w:type="dxa"/>
          </w:tcPr>
          <w:p w:rsidR="005D34AD" w:rsidRPr="00196D5A" w:rsidRDefault="005D34AD" w:rsidP="004936C5">
            <w:pPr>
              <w:pStyle w:val="MDPI42tablebody"/>
            </w:pPr>
            <w:r w:rsidRPr="00196D5A">
              <w:t>(</w:t>
            </w:r>
            <w:r w:rsidRPr="00BD3EAE">
              <w:rPr>
                <w:b/>
              </w:rPr>
              <w:t>b</w:t>
            </w:r>
            <w:r w:rsidRPr="00196D5A">
              <w:t>)</w:t>
            </w:r>
          </w:p>
        </w:tc>
      </w:tr>
    </w:tbl>
    <w:p w:rsidR="005D34AD" w:rsidRPr="00DA4593" w:rsidRDefault="005D34AD" w:rsidP="005D34AD">
      <w:pPr>
        <w:pStyle w:val="MDPI51figurecaption"/>
        <w:jc w:val="both"/>
        <w:rPr>
          <w:b/>
          <w:color w:val="FF0000"/>
        </w:rPr>
      </w:pPr>
      <w:r w:rsidRPr="00F63A9B">
        <w:rPr>
          <w:b/>
        </w:rPr>
        <w:t xml:space="preserve">Figure </w:t>
      </w:r>
      <w:r w:rsidR="00060D36">
        <w:rPr>
          <w:b/>
        </w:rPr>
        <w:t>2</w:t>
      </w:r>
      <w:r w:rsidRPr="00F63A9B">
        <w:rPr>
          <w:b/>
        </w:rPr>
        <w:t xml:space="preserve">. </w:t>
      </w:r>
      <w:r w:rsidR="00060D36" w:rsidRPr="00060D36">
        <w:t>Volt-ampere characteristics of the SOFC (</w:t>
      </w:r>
      <w:r w:rsidR="00060D36" w:rsidRPr="00DA4593">
        <w:rPr>
          <w:b/>
          <w:bCs/>
        </w:rPr>
        <w:t>a</w:t>
      </w:r>
      <w:r w:rsidR="00060D36" w:rsidRPr="00060D36">
        <w:t xml:space="preserve">) </w:t>
      </w:r>
      <w:r w:rsidR="00DA4593">
        <w:t>O</w:t>
      </w:r>
      <w:r w:rsidR="00060D36" w:rsidRPr="00060D36">
        <w:t>n methane</w:t>
      </w:r>
      <w:r w:rsidR="00060D36">
        <w:t>;</w:t>
      </w:r>
      <w:r w:rsidR="00060D36" w:rsidRPr="00060D36">
        <w:t xml:space="preserve"> (</w:t>
      </w:r>
      <w:r w:rsidR="00060D36" w:rsidRPr="00DA4593">
        <w:rPr>
          <w:b/>
          <w:bCs/>
        </w:rPr>
        <w:t>b</w:t>
      </w:r>
      <w:r w:rsidR="00060D36" w:rsidRPr="00060D36">
        <w:t xml:space="preserve">) </w:t>
      </w:r>
      <w:r w:rsidR="00DA4593">
        <w:t>On</w:t>
      </w:r>
      <w:r w:rsidR="00060D36" w:rsidRPr="00060D36">
        <w:t xml:space="preserve"> synthesis gas</w:t>
      </w:r>
      <w:r w:rsidR="00060D36">
        <w:t>.</w:t>
      </w:r>
    </w:p>
    <w:p w:rsidR="006D270A" w:rsidRDefault="006D270A" w:rsidP="006A0D66">
      <w:pPr>
        <w:pStyle w:val="MDPI31text"/>
      </w:pPr>
      <w:r w:rsidRPr="006A0D66">
        <w:t>The distribution of chemicals along the channel is shown in Figures 3-5.</w:t>
      </w:r>
    </w:p>
    <w:p w:rsidR="00FA43BB" w:rsidRPr="006A0D66" w:rsidRDefault="00FA43BB" w:rsidP="006A0D66">
      <w:pPr>
        <w:pStyle w:val="MDPI31text"/>
      </w:pPr>
    </w:p>
    <w:tbl>
      <w:tblPr>
        <w:tblStyle w:val="ab"/>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4"/>
        <w:gridCol w:w="3340"/>
        <w:gridCol w:w="3340"/>
      </w:tblGrid>
      <w:tr w:rsidR="006D270A" w:rsidTr="00C07671">
        <w:trPr>
          <w:trHeight w:val="2895"/>
        </w:trPr>
        <w:tc>
          <w:tcPr>
            <w:tcW w:w="3119" w:type="dxa"/>
          </w:tcPr>
          <w:p w:rsidR="006D270A" w:rsidRDefault="006D270A" w:rsidP="006D270A">
            <w:pPr>
              <w:pStyle w:val="MDPI31text"/>
              <w:ind w:left="0" w:firstLine="0"/>
            </w:pPr>
            <w:r w:rsidRPr="000A0181">
              <w:rPr>
                <w:rFonts w:ascii="Times New Roman" w:hAnsi="Times New Roman"/>
                <w:noProof/>
              </w:rPr>
              <w:drawing>
                <wp:inline distT="0" distB="0" distL="0" distR="0" wp14:anchorId="1F534091" wp14:editId="57E0B02C">
                  <wp:extent cx="1955800" cy="1221146"/>
                  <wp:effectExtent l="0" t="0" r="6350" b="0"/>
                  <wp:docPr id="1691277556" name="Рисунок 1691277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1987487" cy="1240931"/>
                          </a:xfrm>
                          <a:prstGeom prst="rect">
                            <a:avLst/>
                          </a:prstGeom>
                        </pic:spPr>
                      </pic:pic>
                    </a:graphicData>
                  </a:graphic>
                </wp:inline>
              </w:drawing>
            </w:r>
          </w:p>
        </w:tc>
        <w:tc>
          <w:tcPr>
            <w:tcW w:w="3118" w:type="dxa"/>
          </w:tcPr>
          <w:p w:rsidR="006D270A" w:rsidRDefault="006D270A" w:rsidP="006D270A">
            <w:pPr>
              <w:pStyle w:val="MDPI31text"/>
              <w:ind w:left="0" w:firstLine="0"/>
            </w:pPr>
            <w:r w:rsidRPr="000A0181">
              <w:rPr>
                <w:rFonts w:ascii="Times New Roman" w:hAnsi="Times New Roman"/>
                <w:noProof/>
              </w:rPr>
              <w:drawing>
                <wp:inline distT="0" distB="0" distL="0" distR="0" wp14:anchorId="4A3E7EA6" wp14:editId="5A8D7607">
                  <wp:extent cx="2038350" cy="1272688"/>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051986" cy="1281202"/>
                          </a:xfrm>
                          <a:prstGeom prst="rect">
                            <a:avLst/>
                          </a:prstGeom>
                        </pic:spPr>
                      </pic:pic>
                    </a:graphicData>
                  </a:graphic>
                </wp:inline>
              </w:drawing>
            </w:r>
          </w:p>
        </w:tc>
        <w:tc>
          <w:tcPr>
            <w:tcW w:w="3119" w:type="dxa"/>
          </w:tcPr>
          <w:p w:rsidR="006D270A" w:rsidRDefault="006D270A" w:rsidP="006D270A">
            <w:pPr>
              <w:pStyle w:val="MDPI31text"/>
              <w:ind w:left="0" w:firstLine="0"/>
            </w:pPr>
            <w:r w:rsidRPr="000A0181">
              <w:rPr>
                <w:rFonts w:ascii="Times New Roman" w:hAnsi="Times New Roman"/>
                <w:noProof/>
              </w:rPr>
              <w:drawing>
                <wp:inline distT="0" distB="0" distL="0" distR="0" wp14:anchorId="739F397D" wp14:editId="3E6D6D8A">
                  <wp:extent cx="2032830" cy="1269242"/>
                  <wp:effectExtent l="0" t="0" r="5715" b="7620"/>
                  <wp:docPr id="1869630200" name="Рисунок 1869630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048527" cy="1279043"/>
                          </a:xfrm>
                          <a:prstGeom prst="rect">
                            <a:avLst/>
                          </a:prstGeom>
                        </pic:spPr>
                      </pic:pic>
                    </a:graphicData>
                  </a:graphic>
                </wp:inline>
              </w:drawing>
            </w:r>
          </w:p>
        </w:tc>
      </w:tr>
      <w:tr w:rsidR="006D270A" w:rsidTr="00C07671">
        <w:trPr>
          <w:trHeight w:val="286"/>
        </w:trPr>
        <w:tc>
          <w:tcPr>
            <w:tcW w:w="3119" w:type="dxa"/>
            <w:vAlign w:val="center"/>
          </w:tcPr>
          <w:p w:rsidR="006D270A" w:rsidRDefault="006D270A" w:rsidP="006D270A">
            <w:pPr>
              <w:pStyle w:val="MDPI42tablebody"/>
            </w:pPr>
            <w:r w:rsidRPr="00196D5A">
              <w:t>(</w:t>
            </w:r>
            <w:r w:rsidRPr="00BD3EAE">
              <w:rPr>
                <w:b/>
              </w:rPr>
              <w:t>a</w:t>
            </w:r>
            <w:r w:rsidRPr="00196D5A">
              <w:t>)</w:t>
            </w:r>
          </w:p>
        </w:tc>
        <w:tc>
          <w:tcPr>
            <w:tcW w:w="3118" w:type="dxa"/>
            <w:vAlign w:val="center"/>
          </w:tcPr>
          <w:p w:rsidR="006D270A" w:rsidRDefault="006D270A" w:rsidP="006D270A">
            <w:pPr>
              <w:pStyle w:val="MDPI42tablebody"/>
            </w:pPr>
            <w:r w:rsidRPr="00196D5A">
              <w:t>(</w:t>
            </w:r>
            <w:r w:rsidRPr="006D270A">
              <w:rPr>
                <w:b/>
                <w:bCs/>
              </w:rPr>
              <w:t>b</w:t>
            </w:r>
            <w:r w:rsidRPr="00196D5A">
              <w:t>)</w:t>
            </w:r>
          </w:p>
        </w:tc>
        <w:tc>
          <w:tcPr>
            <w:tcW w:w="3119" w:type="dxa"/>
            <w:vAlign w:val="center"/>
          </w:tcPr>
          <w:p w:rsidR="006D270A" w:rsidRDefault="006D270A" w:rsidP="006D270A">
            <w:pPr>
              <w:pStyle w:val="MDPI42tablebody"/>
            </w:pPr>
            <w:r w:rsidRPr="00196D5A">
              <w:t>(</w:t>
            </w:r>
            <w:r w:rsidRPr="006D270A">
              <w:rPr>
                <w:b/>
                <w:bCs/>
              </w:rPr>
              <w:t>c</w:t>
            </w:r>
            <w:r w:rsidRPr="00196D5A">
              <w:t>)</w:t>
            </w:r>
          </w:p>
        </w:tc>
      </w:tr>
    </w:tbl>
    <w:p w:rsidR="006D270A" w:rsidRPr="00DA4593" w:rsidRDefault="006D270A" w:rsidP="006D270A">
      <w:pPr>
        <w:pStyle w:val="MDPI51figurecaption"/>
        <w:jc w:val="both"/>
        <w:rPr>
          <w:b/>
          <w:color w:val="FF0000"/>
        </w:rPr>
      </w:pPr>
      <w:r w:rsidRPr="00F63A9B">
        <w:rPr>
          <w:b/>
        </w:rPr>
        <w:t xml:space="preserve">Figure </w:t>
      </w:r>
      <w:r>
        <w:rPr>
          <w:b/>
        </w:rPr>
        <w:t>3</w:t>
      </w:r>
      <w:r w:rsidRPr="00F63A9B">
        <w:rPr>
          <w:b/>
        </w:rPr>
        <w:t xml:space="preserve">. </w:t>
      </w:r>
      <w:r w:rsidRPr="006D270A">
        <w:t xml:space="preserve">Distribution of </w:t>
      </w:r>
      <w:r w:rsidR="00DA4593">
        <w:t>(</w:t>
      </w:r>
      <w:r w:rsidR="00DA4593" w:rsidRPr="00DA4593">
        <w:rPr>
          <w:b/>
          <w:bCs/>
          <w:color w:val="000000" w:themeColor="text1"/>
        </w:rPr>
        <w:t>a</w:t>
      </w:r>
      <w:r w:rsidR="00DA4593" w:rsidRPr="00DA4593">
        <w:rPr>
          <w:color w:val="000000" w:themeColor="text1"/>
        </w:rPr>
        <w:t>) H</w:t>
      </w:r>
      <w:r w:rsidRPr="00DA4593">
        <w:rPr>
          <w:color w:val="000000" w:themeColor="text1"/>
        </w:rPr>
        <w:t>ydrogen</w:t>
      </w:r>
      <w:r w:rsidR="00DA4593" w:rsidRPr="00DA4593">
        <w:rPr>
          <w:color w:val="000000" w:themeColor="text1"/>
        </w:rPr>
        <w:t>;</w:t>
      </w:r>
      <w:r w:rsidRPr="00DA4593">
        <w:rPr>
          <w:color w:val="000000" w:themeColor="text1"/>
        </w:rPr>
        <w:t xml:space="preserve"> (</w:t>
      </w:r>
      <w:r w:rsidR="00DA4593" w:rsidRPr="00DA4593">
        <w:rPr>
          <w:b/>
          <w:bCs/>
          <w:color w:val="000000" w:themeColor="text1"/>
        </w:rPr>
        <w:t>b</w:t>
      </w:r>
      <w:r w:rsidRPr="00DA4593">
        <w:rPr>
          <w:color w:val="000000" w:themeColor="text1"/>
        </w:rPr>
        <w:t xml:space="preserve">) </w:t>
      </w:r>
      <w:r w:rsidR="00DA4593" w:rsidRPr="00DA4593">
        <w:rPr>
          <w:color w:val="000000" w:themeColor="text1"/>
        </w:rPr>
        <w:t>O</w:t>
      </w:r>
      <w:r w:rsidRPr="00DA4593">
        <w:rPr>
          <w:color w:val="000000" w:themeColor="text1"/>
        </w:rPr>
        <w:t>xygen</w:t>
      </w:r>
      <w:r w:rsidR="00DA4593">
        <w:t>;</w:t>
      </w:r>
      <w:r w:rsidRPr="006D270A">
        <w:t xml:space="preserve"> (</w:t>
      </w:r>
      <w:r w:rsidR="00DA4593" w:rsidRPr="00DA4593">
        <w:rPr>
          <w:b/>
          <w:bCs/>
        </w:rPr>
        <w:t>c</w:t>
      </w:r>
      <w:r w:rsidRPr="006D270A">
        <w:t xml:space="preserve">) </w:t>
      </w:r>
      <w:r w:rsidR="00DA4593">
        <w:t>W</w:t>
      </w:r>
      <w:r w:rsidRPr="006D270A">
        <w:t>ater through the channels when hydrogen is supplied as a fuel.</w:t>
      </w:r>
    </w:p>
    <w:tbl>
      <w:tblPr>
        <w:tblStyle w:val="ab"/>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2"/>
        <w:gridCol w:w="3343"/>
        <w:gridCol w:w="3219"/>
      </w:tblGrid>
      <w:tr w:rsidR="00C07671" w:rsidTr="00C07671">
        <w:trPr>
          <w:trHeight w:val="2895"/>
        </w:trPr>
        <w:tc>
          <w:tcPr>
            <w:tcW w:w="3119" w:type="dxa"/>
          </w:tcPr>
          <w:p w:rsidR="00C07671" w:rsidRDefault="00C07671" w:rsidP="004936C5">
            <w:pPr>
              <w:pStyle w:val="MDPI31text"/>
              <w:ind w:left="0" w:firstLine="0"/>
            </w:pPr>
            <w:r w:rsidRPr="000A0181">
              <w:rPr>
                <w:rFonts w:ascii="Times New Roman" w:hAnsi="Times New Roman"/>
                <w:noProof/>
              </w:rPr>
              <w:drawing>
                <wp:inline distT="0" distB="0" distL="0" distR="0" wp14:anchorId="29AED7A2" wp14:editId="33933C37">
                  <wp:extent cx="2022903" cy="1310185"/>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2045744" cy="1324978"/>
                          </a:xfrm>
                          <a:prstGeom prst="rect">
                            <a:avLst/>
                          </a:prstGeom>
                        </pic:spPr>
                      </pic:pic>
                    </a:graphicData>
                  </a:graphic>
                </wp:inline>
              </w:drawing>
            </w:r>
          </w:p>
        </w:tc>
        <w:tc>
          <w:tcPr>
            <w:tcW w:w="3118" w:type="dxa"/>
          </w:tcPr>
          <w:p w:rsidR="00C07671" w:rsidRDefault="00C07671" w:rsidP="004936C5">
            <w:pPr>
              <w:pStyle w:val="MDPI31text"/>
              <w:ind w:left="0" w:firstLine="0"/>
            </w:pPr>
            <w:r w:rsidRPr="000A0181">
              <w:rPr>
                <w:rFonts w:ascii="Times New Roman" w:hAnsi="Times New Roman"/>
                <w:noProof/>
              </w:rPr>
              <w:drawing>
                <wp:inline distT="0" distB="0" distL="0" distR="0" wp14:anchorId="352D8F8A" wp14:editId="2FE86DDC">
                  <wp:extent cx="2023463" cy="1310548"/>
                  <wp:effectExtent l="0" t="0" r="0" b="444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2066142" cy="1338190"/>
                          </a:xfrm>
                          <a:prstGeom prst="rect">
                            <a:avLst/>
                          </a:prstGeom>
                        </pic:spPr>
                      </pic:pic>
                    </a:graphicData>
                  </a:graphic>
                </wp:inline>
              </w:drawing>
            </w:r>
          </w:p>
        </w:tc>
        <w:tc>
          <w:tcPr>
            <w:tcW w:w="3119" w:type="dxa"/>
          </w:tcPr>
          <w:p w:rsidR="00C07671" w:rsidRDefault="00C07671" w:rsidP="004936C5">
            <w:pPr>
              <w:pStyle w:val="MDPI31text"/>
              <w:ind w:left="0" w:firstLine="0"/>
            </w:pPr>
            <w:r w:rsidRPr="000A0181">
              <w:rPr>
                <w:rFonts w:ascii="Times New Roman" w:hAnsi="Times New Roman"/>
                <w:noProof/>
              </w:rPr>
              <w:drawing>
                <wp:inline distT="0" distB="0" distL="0" distR="0" wp14:anchorId="5C12D335" wp14:editId="593D7C82">
                  <wp:extent cx="1939254" cy="1256007"/>
                  <wp:effectExtent l="0" t="0" r="4445" b="190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1947148" cy="1261119"/>
                          </a:xfrm>
                          <a:prstGeom prst="rect">
                            <a:avLst/>
                          </a:prstGeom>
                        </pic:spPr>
                      </pic:pic>
                    </a:graphicData>
                  </a:graphic>
                </wp:inline>
              </w:drawing>
            </w:r>
          </w:p>
        </w:tc>
      </w:tr>
      <w:tr w:rsidR="00C07671" w:rsidTr="00C07671">
        <w:trPr>
          <w:trHeight w:val="286"/>
        </w:trPr>
        <w:tc>
          <w:tcPr>
            <w:tcW w:w="3119" w:type="dxa"/>
            <w:vAlign w:val="center"/>
          </w:tcPr>
          <w:p w:rsidR="00C07671" w:rsidRDefault="00C07671" w:rsidP="004936C5">
            <w:pPr>
              <w:pStyle w:val="MDPI42tablebody"/>
            </w:pPr>
            <w:r w:rsidRPr="00196D5A">
              <w:t>(</w:t>
            </w:r>
            <w:r w:rsidRPr="00BD3EAE">
              <w:rPr>
                <w:b/>
              </w:rPr>
              <w:t>a</w:t>
            </w:r>
            <w:r w:rsidRPr="00196D5A">
              <w:t>)</w:t>
            </w:r>
          </w:p>
        </w:tc>
        <w:tc>
          <w:tcPr>
            <w:tcW w:w="3118" w:type="dxa"/>
            <w:vAlign w:val="center"/>
          </w:tcPr>
          <w:p w:rsidR="00C07671" w:rsidRDefault="00C07671" w:rsidP="004936C5">
            <w:pPr>
              <w:pStyle w:val="MDPI42tablebody"/>
            </w:pPr>
            <w:r w:rsidRPr="00196D5A">
              <w:t>(</w:t>
            </w:r>
            <w:r w:rsidRPr="006D270A">
              <w:rPr>
                <w:b/>
                <w:bCs/>
              </w:rPr>
              <w:t>b</w:t>
            </w:r>
            <w:r w:rsidRPr="00196D5A">
              <w:t>)</w:t>
            </w:r>
          </w:p>
        </w:tc>
        <w:tc>
          <w:tcPr>
            <w:tcW w:w="3119" w:type="dxa"/>
            <w:vAlign w:val="center"/>
          </w:tcPr>
          <w:p w:rsidR="00C07671" w:rsidRDefault="00C07671" w:rsidP="004936C5">
            <w:pPr>
              <w:pStyle w:val="MDPI42tablebody"/>
            </w:pPr>
            <w:r w:rsidRPr="00196D5A">
              <w:t>(</w:t>
            </w:r>
            <w:r w:rsidRPr="006D270A">
              <w:rPr>
                <w:b/>
                <w:bCs/>
              </w:rPr>
              <w:t>c</w:t>
            </w:r>
            <w:r w:rsidRPr="00196D5A">
              <w:t>)</w:t>
            </w:r>
          </w:p>
        </w:tc>
      </w:tr>
    </w:tbl>
    <w:p w:rsidR="00C07671" w:rsidRPr="00DA4593" w:rsidRDefault="00C07671" w:rsidP="00C07671">
      <w:pPr>
        <w:pStyle w:val="MDPI51figurecaption"/>
        <w:jc w:val="both"/>
        <w:rPr>
          <w:b/>
          <w:color w:val="FF0000"/>
        </w:rPr>
      </w:pPr>
      <w:r w:rsidRPr="00F63A9B">
        <w:rPr>
          <w:b/>
        </w:rPr>
        <w:t xml:space="preserve">Figure </w:t>
      </w:r>
      <w:r>
        <w:rPr>
          <w:b/>
        </w:rPr>
        <w:t>4</w:t>
      </w:r>
      <w:r w:rsidRPr="00F63A9B">
        <w:rPr>
          <w:b/>
        </w:rPr>
        <w:t xml:space="preserve">. </w:t>
      </w:r>
      <w:r w:rsidRPr="00C07671">
        <w:t xml:space="preserve">Distribution of </w:t>
      </w:r>
      <w:r w:rsidR="00DA4593">
        <w:t>(</w:t>
      </w:r>
      <w:r w:rsidR="00DA4593" w:rsidRPr="00DA4593">
        <w:rPr>
          <w:b/>
          <w:bCs/>
        </w:rPr>
        <w:t>a</w:t>
      </w:r>
      <w:r w:rsidR="00DA4593">
        <w:t>) M</w:t>
      </w:r>
      <w:r w:rsidRPr="00C07671">
        <w:t>ethane</w:t>
      </w:r>
      <w:r w:rsidR="00DA4593">
        <w:t>;</w:t>
      </w:r>
      <w:r w:rsidRPr="00C07671">
        <w:t xml:space="preserve"> (</w:t>
      </w:r>
      <w:r w:rsidR="00DA4593" w:rsidRPr="00DA4593">
        <w:rPr>
          <w:b/>
          <w:bCs/>
        </w:rPr>
        <w:t>b</w:t>
      </w:r>
      <w:r w:rsidRPr="00C07671">
        <w:t xml:space="preserve">) </w:t>
      </w:r>
      <w:r w:rsidR="00DA4593">
        <w:t>H</w:t>
      </w:r>
      <w:r w:rsidRPr="00C07671">
        <w:t>ydrogen</w:t>
      </w:r>
      <w:r w:rsidR="00DA4593">
        <w:t>;</w:t>
      </w:r>
      <w:r w:rsidRPr="00C07671">
        <w:t xml:space="preserve"> (</w:t>
      </w:r>
      <w:r w:rsidR="00DA4593" w:rsidRPr="00DA4593">
        <w:rPr>
          <w:b/>
          <w:bCs/>
        </w:rPr>
        <w:t>c</w:t>
      </w:r>
      <w:r w:rsidRPr="00C07671">
        <w:t xml:space="preserve">) </w:t>
      </w:r>
      <w:r w:rsidR="00DA4593">
        <w:t>W</w:t>
      </w:r>
      <w:r w:rsidRPr="00C07671">
        <w:t xml:space="preserve">ater through the channels when methane is supplied as a fuel. </w:t>
      </w:r>
    </w:p>
    <w:tbl>
      <w:tblPr>
        <w:tblStyle w:val="ab"/>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6"/>
        <w:gridCol w:w="3291"/>
        <w:gridCol w:w="3254"/>
      </w:tblGrid>
      <w:tr w:rsidR="00C07671" w:rsidTr="004936C5">
        <w:trPr>
          <w:trHeight w:val="2895"/>
        </w:trPr>
        <w:tc>
          <w:tcPr>
            <w:tcW w:w="3119" w:type="dxa"/>
          </w:tcPr>
          <w:p w:rsidR="00C07671" w:rsidRDefault="00C07671" w:rsidP="004936C5">
            <w:pPr>
              <w:pStyle w:val="MDPI31text"/>
              <w:ind w:left="0" w:firstLine="0"/>
            </w:pPr>
            <w:r w:rsidRPr="000A0181">
              <w:rPr>
                <w:rFonts w:ascii="Times New Roman" w:hAnsi="Times New Roman"/>
                <w:noProof/>
              </w:rPr>
              <w:lastRenderedPageBreak/>
              <w:drawing>
                <wp:inline distT="0" distB="0" distL="0" distR="0" wp14:anchorId="25EEEE93" wp14:editId="5A434E79">
                  <wp:extent cx="1987550" cy="1287288"/>
                  <wp:effectExtent l="0" t="0" r="0" b="825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2006159" cy="1299340"/>
                          </a:xfrm>
                          <a:prstGeom prst="rect">
                            <a:avLst/>
                          </a:prstGeom>
                        </pic:spPr>
                      </pic:pic>
                    </a:graphicData>
                  </a:graphic>
                </wp:inline>
              </w:drawing>
            </w:r>
          </w:p>
        </w:tc>
        <w:tc>
          <w:tcPr>
            <w:tcW w:w="3118" w:type="dxa"/>
          </w:tcPr>
          <w:p w:rsidR="00C07671" w:rsidRDefault="00C07671" w:rsidP="004936C5">
            <w:pPr>
              <w:pStyle w:val="MDPI31text"/>
              <w:ind w:left="0" w:firstLine="0"/>
            </w:pPr>
            <w:r w:rsidRPr="000A0181">
              <w:rPr>
                <w:rFonts w:ascii="Times New Roman" w:hAnsi="Times New Roman"/>
                <w:noProof/>
              </w:rPr>
              <w:drawing>
                <wp:inline distT="0" distB="0" distL="0" distR="0" wp14:anchorId="7A8A5025" wp14:editId="273197F9">
                  <wp:extent cx="1952625" cy="1264666"/>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2003592" cy="1297676"/>
                          </a:xfrm>
                          <a:prstGeom prst="rect">
                            <a:avLst/>
                          </a:prstGeom>
                        </pic:spPr>
                      </pic:pic>
                    </a:graphicData>
                  </a:graphic>
                </wp:inline>
              </w:drawing>
            </w:r>
          </w:p>
        </w:tc>
        <w:tc>
          <w:tcPr>
            <w:tcW w:w="3119" w:type="dxa"/>
          </w:tcPr>
          <w:p w:rsidR="00C07671" w:rsidRDefault="00C07671" w:rsidP="004936C5">
            <w:pPr>
              <w:pStyle w:val="MDPI31text"/>
              <w:ind w:left="0" w:firstLine="0"/>
            </w:pPr>
            <w:r w:rsidRPr="000A0181">
              <w:rPr>
                <w:rFonts w:ascii="Times New Roman" w:hAnsi="Times New Roman"/>
                <w:noProof/>
              </w:rPr>
              <w:drawing>
                <wp:inline distT="0" distB="0" distL="0" distR="0" wp14:anchorId="1A87C18A" wp14:editId="65189BC1">
                  <wp:extent cx="1929760" cy="1249857"/>
                  <wp:effectExtent l="0" t="0" r="0" b="762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1948670" cy="1262105"/>
                          </a:xfrm>
                          <a:prstGeom prst="rect">
                            <a:avLst/>
                          </a:prstGeom>
                        </pic:spPr>
                      </pic:pic>
                    </a:graphicData>
                  </a:graphic>
                </wp:inline>
              </w:drawing>
            </w:r>
          </w:p>
        </w:tc>
      </w:tr>
      <w:tr w:rsidR="00C07671" w:rsidTr="004936C5">
        <w:trPr>
          <w:trHeight w:val="286"/>
        </w:trPr>
        <w:tc>
          <w:tcPr>
            <w:tcW w:w="3119" w:type="dxa"/>
            <w:vAlign w:val="center"/>
          </w:tcPr>
          <w:p w:rsidR="00C07671" w:rsidRDefault="00C07671" w:rsidP="004936C5">
            <w:pPr>
              <w:pStyle w:val="MDPI42tablebody"/>
            </w:pPr>
            <w:r w:rsidRPr="00196D5A">
              <w:t>(</w:t>
            </w:r>
            <w:r w:rsidRPr="00BD3EAE">
              <w:rPr>
                <w:b/>
              </w:rPr>
              <w:t>a</w:t>
            </w:r>
            <w:r w:rsidRPr="00196D5A">
              <w:t>)</w:t>
            </w:r>
          </w:p>
        </w:tc>
        <w:tc>
          <w:tcPr>
            <w:tcW w:w="3118" w:type="dxa"/>
            <w:vAlign w:val="center"/>
          </w:tcPr>
          <w:p w:rsidR="00C07671" w:rsidRDefault="00C07671" w:rsidP="004936C5">
            <w:pPr>
              <w:pStyle w:val="MDPI42tablebody"/>
            </w:pPr>
            <w:r w:rsidRPr="00196D5A">
              <w:t>(</w:t>
            </w:r>
            <w:r w:rsidRPr="006D270A">
              <w:rPr>
                <w:b/>
                <w:bCs/>
              </w:rPr>
              <w:t>b</w:t>
            </w:r>
            <w:r w:rsidRPr="00196D5A">
              <w:t>)</w:t>
            </w:r>
          </w:p>
        </w:tc>
        <w:tc>
          <w:tcPr>
            <w:tcW w:w="3119" w:type="dxa"/>
            <w:vAlign w:val="center"/>
          </w:tcPr>
          <w:p w:rsidR="00C07671" w:rsidRDefault="00C07671" w:rsidP="004936C5">
            <w:pPr>
              <w:pStyle w:val="MDPI42tablebody"/>
            </w:pPr>
            <w:r w:rsidRPr="00196D5A">
              <w:t>(</w:t>
            </w:r>
            <w:r w:rsidRPr="006D270A">
              <w:rPr>
                <w:b/>
                <w:bCs/>
              </w:rPr>
              <w:t>c</w:t>
            </w:r>
            <w:r w:rsidRPr="00196D5A">
              <w:t>)</w:t>
            </w:r>
          </w:p>
        </w:tc>
      </w:tr>
    </w:tbl>
    <w:p w:rsidR="00C07671" w:rsidRPr="00DA4593" w:rsidRDefault="00C07671" w:rsidP="00C07671">
      <w:pPr>
        <w:pStyle w:val="MDPI51figurecaption"/>
        <w:jc w:val="both"/>
        <w:rPr>
          <w:b/>
          <w:color w:val="FF0000"/>
        </w:rPr>
      </w:pPr>
      <w:r w:rsidRPr="00F63A9B">
        <w:rPr>
          <w:b/>
        </w:rPr>
        <w:t xml:space="preserve">Figure </w:t>
      </w:r>
      <w:r>
        <w:rPr>
          <w:b/>
        </w:rPr>
        <w:t>5</w:t>
      </w:r>
      <w:r w:rsidRPr="00F63A9B">
        <w:rPr>
          <w:b/>
        </w:rPr>
        <w:t xml:space="preserve">. </w:t>
      </w:r>
      <w:r w:rsidR="00DA4593">
        <w:t>Gas d</w:t>
      </w:r>
      <w:r w:rsidRPr="00C07671">
        <w:t>istribution</w:t>
      </w:r>
      <w:r w:rsidR="00DA4593">
        <w:t xml:space="preserve"> of (</w:t>
      </w:r>
      <w:r w:rsidR="00DA4593" w:rsidRPr="00DA4593">
        <w:rPr>
          <w:b/>
          <w:bCs/>
        </w:rPr>
        <w:t>a</w:t>
      </w:r>
      <w:r w:rsidR="00DA4593">
        <w:t>) M</w:t>
      </w:r>
      <w:r w:rsidRPr="00C07671">
        <w:t>ethane</w:t>
      </w:r>
      <w:r w:rsidR="00DA4593">
        <w:t>; (</w:t>
      </w:r>
      <w:r w:rsidR="00DA4593" w:rsidRPr="00DA4593">
        <w:rPr>
          <w:b/>
          <w:bCs/>
        </w:rPr>
        <w:t>b</w:t>
      </w:r>
      <w:r w:rsidR="00DA4593">
        <w:t>)</w:t>
      </w:r>
      <w:r w:rsidRPr="00C07671">
        <w:t xml:space="preserve"> </w:t>
      </w:r>
      <w:r w:rsidR="00DA4593">
        <w:t>H</w:t>
      </w:r>
      <w:r w:rsidRPr="00C07671">
        <w:t>ydrogen</w:t>
      </w:r>
      <w:r w:rsidR="00DA4593">
        <w:t>;</w:t>
      </w:r>
      <w:r w:rsidRPr="00C07671">
        <w:t xml:space="preserve"> (</w:t>
      </w:r>
      <w:r w:rsidR="00DA4593" w:rsidRPr="00DA4593">
        <w:rPr>
          <w:b/>
          <w:bCs/>
        </w:rPr>
        <w:t>c</w:t>
      </w:r>
      <w:r w:rsidRPr="00C07671">
        <w:t xml:space="preserve">) </w:t>
      </w:r>
      <w:r w:rsidR="00DA4593">
        <w:t>C</w:t>
      </w:r>
      <w:r w:rsidRPr="00C07671">
        <w:t xml:space="preserve">arbon monoxide through the channels when synthesis gas is supplied as a fuel. </w:t>
      </w:r>
    </w:p>
    <w:p w:rsidR="006A0D66" w:rsidRPr="006A0D66" w:rsidRDefault="006A0D66" w:rsidP="006A0D66">
      <w:pPr>
        <w:pStyle w:val="MDPI31text"/>
      </w:pPr>
      <w:r w:rsidRPr="006A0D66">
        <w:t>When methane is supplied as a fuel, a steam reforming reaction occurs. Hydrogen is formed at the anode, which increases towards the center of the channel and then is consumed in an electrochemical reaction with oxygen (Fig. 4). Water is supplied together with methane. Therefore, there is a large amount of water at the beginning of the channel and at the end, as a product of the electrochemical reaction.</w:t>
      </w:r>
    </w:p>
    <w:p w:rsidR="006A0D66" w:rsidRPr="006A0D66" w:rsidRDefault="006A0D66" w:rsidP="006A0D66">
      <w:pPr>
        <w:pStyle w:val="MDPI31text"/>
      </w:pPr>
      <w:r w:rsidRPr="006A0D66">
        <w:t>When synthesis gas is used as a fuel, the reactions of steam reforming, carbon monoxide oxidation, and the interaction of hydrogen with oxygen occur simultaneously.</w:t>
      </w:r>
    </w:p>
    <w:p w:rsidR="006A0D66" w:rsidRPr="006A0D66" w:rsidRDefault="006A0D66" w:rsidP="006A0D66">
      <w:pPr>
        <w:pStyle w:val="MDPI31text"/>
      </w:pPr>
      <w:r w:rsidRPr="006A0D66">
        <w:t>Hydrogen is supplied in a sufficiently large amount in the fuel mixture, and is also formed as a result of steam reforming. Therefore, a large amount of hydrogen is observed up to the middle of the channel, then it begins to be consumed in the electrochemical reaction (Fig. 5). Carbon monoxide also enters the fuel mixture and reacts with oxygen to form carbon dioxide.</w:t>
      </w:r>
    </w:p>
    <w:p w:rsidR="00945904" w:rsidRDefault="006A0D66" w:rsidP="00B813FD">
      <w:pPr>
        <w:pStyle w:val="MDPI31text"/>
      </w:pPr>
      <w:r w:rsidRPr="006A0D66">
        <w:t>Table 4 presents the calculated parameters of the SOFC operation efficiency on various types of fuel.</w:t>
      </w:r>
    </w:p>
    <w:p w:rsidR="006A0D66" w:rsidRPr="006A0D66" w:rsidRDefault="00945904" w:rsidP="00B813FD">
      <w:pPr>
        <w:pStyle w:val="MDPI41tablecaption"/>
      </w:pPr>
      <w:r>
        <w:rPr>
          <w:b/>
        </w:rPr>
        <w:t>Table 4</w:t>
      </w:r>
      <w:r w:rsidRPr="00325902">
        <w:rPr>
          <w:b/>
        </w:rPr>
        <w:t>.</w:t>
      </w:r>
      <w:r w:rsidRPr="00325902">
        <w:t xml:space="preserve"> </w:t>
      </w:r>
      <w:r w:rsidRPr="00945904">
        <w:t>The calculated parameters of the SOFC operation efficiency on various types of fuel</w:t>
      </w:r>
    </w:p>
    <w:tbl>
      <w:tblPr>
        <w:tblW w:w="10490"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3969"/>
        <w:gridCol w:w="2268"/>
        <w:gridCol w:w="2268"/>
        <w:gridCol w:w="1985"/>
      </w:tblGrid>
      <w:tr w:rsidR="00945904" w:rsidRPr="00AD6DF9" w:rsidTr="00945904">
        <w:tc>
          <w:tcPr>
            <w:tcW w:w="3969" w:type="dxa"/>
            <w:tcBorders>
              <w:bottom w:val="single" w:sz="4" w:space="0" w:color="auto"/>
            </w:tcBorders>
            <w:shd w:val="clear" w:color="auto" w:fill="auto"/>
            <w:vAlign w:val="center"/>
          </w:tcPr>
          <w:p w:rsidR="00945904" w:rsidRPr="007F7C8C" w:rsidRDefault="00945904" w:rsidP="004936C5">
            <w:pPr>
              <w:pStyle w:val="MDPI42tablebody"/>
              <w:spacing w:line="240" w:lineRule="auto"/>
              <w:rPr>
                <w:b/>
                <w:snapToGrid/>
              </w:rPr>
            </w:pPr>
          </w:p>
        </w:tc>
        <w:tc>
          <w:tcPr>
            <w:tcW w:w="2268" w:type="dxa"/>
            <w:tcBorders>
              <w:bottom w:val="single" w:sz="4" w:space="0" w:color="auto"/>
            </w:tcBorders>
            <w:shd w:val="clear" w:color="auto" w:fill="auto"/>
            <w:vAlign w:val="center"/>
          </w:tcPr>
          <w:p w:rsidR="00945904" w:rsidRPr="007F7C8C" w:rsidRDefault="00945904" w:rsidP="004936C5">
            <w:pPr>
              <w:pStyle w:val="MDPI42tablebody"/>
              <w:spacing w:line="240" w:lineRule="auto"/>
              <w:rPr>
                <w:b/>
                <w:snapToGrid/>
              </w:rPr>
            </w:pPr>
            <w:r w:rsidRPr="00945904">
              <w:rPr>
                <w:b/>
                <w:snapToGrid/>
              </w:rPr>
              <w:t>Hydrogen</w:t>
            </w:r>
          </w:p>
        </w:tc>
        <w:tc>
          <w:tcPr>
            <w:tcW w:w="2268" w:type="dxa"/>
            <w:tcBorders>
              <w:bottom w:val="single" w:sz="4" w:space="0" w:color="auto"/>
            </w:tcBorders>
            <w:shd w:val="clear" w:color="auto" w:fill="auto"/>
            <w:vAlign w:val="center"/>
          </w:tcPr>
          <w:p w:rsidR="00945904" w:rsidRPr="007F7C8C" w:rsidRDefault="00945904" w:rsidP="004936C5">
            <w:pPr>
              <w:pStyle w:val="MDPI42tablebody"/>
              <w:spacing w:line="240" w:lineRule="auto"/>
              <w:rPr>
                <w:b/>
                <w:snapToGrid/>
              </w:rPr>
            </w:pPr>
            <w:r w:rsidRPr="00945904">
              <w:rPr>
                <w:b/>
                <w:snapToGrid/>
              </w:rPr>
              <w:t>Methane</w:t>
            </w:r>
          </w:p>
        </w:tc>
        <w:tc>
          <w:tcPr>
            <w:tcW w:w="1985" w:type="dxa"/>
            <w:tcBorders>
              <w:bottom w:val="single" w:sz="4" w:space="0" w:color="auto"/>
            </w:tcBorders>
            <w:vAlign w:val="center"/>
          </w:tcPr>
          <w:p w:rsidR="00945904" w:rsidRPr="007F7C8C" w:rsidRDefault="00945904" w:rsidP="004936C5">
            <w:pPr>
              <w:pStyle w:val="MDPI42tablebody"/>
              <w:spacing w:line="240" w:lineRule="auto"/>
              <w:rPr>
                <w:b/>
                <w:snapToGrid/>
              </w:rPr>
            </w:pPr>
            <w:r w:rsidRPr="00945904">
              <w:rPr>
                <w:b/>
                <w:snapToGrid/>
              </w:rPr>
              <w:t>Synthesis gas</w:t>
            </w:r>
          </w:p>
        </w:tc>
      </w:tr>
      <w:tr w:rsidR="00945904" w:rsidRPr="00AD6DF9" w:rsidTr="00945904">
        <w:tc>
          <w:tcPr>
            <w:tcW w:w="3969" w:type="dxa"/>
            <w:shd w:val="clear" w:color="auto" w:fill="auto"/>
            <w:vAlign w:val="center"/>
          </w:tcPr>
          <w:p w:rsidR="00945904" w:rsidRPr="00F220D4" w:rsidRDefault="00945904" w:rsidP="004936C5">
            <w:pPr>
              <w:pStyle w:val="MDPI42tablebody"/>
              <w:spacing w:line="240" w:lineRule="auto"/>
            </w:pPr>
            <w:r w:rsidRPr="00945904">
              <w:t>Electrical efficiency, %</w:t>
            </w:r>
          </w:p>
        </w:tc>
        <w:tc>
          <w:tcPr>
            <w:tcW w:w="2268" w:type="dxa"/>
            <w:shd w:val="clear" w:color="auto" w:fill="auto"/>
            <w:vAlign w:val="center"/>
          </w:tcPr>
          <w:p w:rsidR="00945904" w:rsidRPr="00F220D4" w:rsidRDefault="00945904" w:rsidP="004936C5">
            <w:pPr>
              <w:pStyle w:val="MDPI42tablebody"/>
              <w:spacing w:line="240" w:lineRule="auto"/>
            </w:pPr>
            <w:r w:rsidRPr="00945904">
              <w:t>64.2</w:t>
            </w:r>
          </w:p>
        </w:tc>
        <w:tc>
          <w:tcPr>
            <w:tcW w:w="2268" w:type="dxa"/>
            <w:shd w:val="clear" w:color="auto" w:fill="auto"/>
            <w:vAlign w:val="center"/>
          </w:tcPr>
          <w:p w:rsidR="00945904" w:rsidRPr="00F220D4" w:rsidRDefault="00945904" w:rsidP="004936C5">
            <w:pPr>
              <w:pStyle w:val="MDPI42tablebody"/>
              <w:spacing w:line="240" w:lineRule="auto"/>
            </w:pPr>
            <w:r w:rsidRPr="00945904">
              <w:t>49.5</w:t>
            </w:r>
          </w:p>
        </w:tc>
        <w:tc>
          <w:tcPr>
            <w:tcW w:w="1985" w:type="dxa"/>
          </w:tcPr>
          <w:p w:rsidR="00945904" w:rsidRPr="00F220D4" w:rsidRDefault="00945904" w:rsidP="004936C5">
            <w:pPr>
              <w:pStyle w:val="MDPI42tablebody"/>
              <w:spacing w:line="240" w:lineRule="auto"/>
            </w:pPr>
            <w:r w:rsidRPr="00945904">
              <w:t>58</w:t>
            </w:r>
          </w:p>
        </w:tc>
      </w:tr>
      <w:tr w:rsidR="00945904" w:rsidRPr="00AD6DF9" w:rsidTr="00945904">
        <w:tc>
          <w:tcPr>
            <w:tcW w:w="3969" w:type="dxa"/>
            <w:shd w:val="clear" w:color="auto" w:fill="auto"/>
            <w:vAlign w:val="center"/>
          </w:tcPr>
          <w:p w:rsidR="00945904" w:rsidRPr="00F220D4" w:rsidRDefault="00945904" w:rsidP="004936C5">
            <w:pPr>
              <w:pStyle w:val="MDPI42tablebody"/>
              <w:spacing w:line="240" w:lineRule="auto"/>
            </w:pPr>
            <w:r w:rsidRPr="00945904">
              <w:t>Fuel consumption per 1 W of power, g/</w:t>
            </w:r>
            <w:proofErr w:type="spellStart"/>
            <w:r w:rsidRPr="00945904">
              <w:t>hW</w:t>
            </w:r>
            <w:proofErr w:type="spellEnd"/>
          </w:p>
        </w:tc>
        <w:tc>
          <w:tcPr>
            <w:tcW w:w="2268" w:type="dxa"/>
            <w:shd w:val="clear" w:color="auto" w:fill="auto"/>
            <w:vAlign w:val="center"/>
          </w:tcPr>
          <w:p w:rsidR="00945904" w:rsidRPr="00F220D4" w:rsidRDefault="00945904" w:rsidP="004936C5">
            <w:pPr>
              <w:pStyle w:val="MDPI42tablebody"/>
              <w:spacing w:line="240" w:lineRule="auto"/>
            </w:pPr>
            <w:r w:rsidRPr="00945904">
              <w:t>0.04</w:t>
            </w:r>
          </w:p>
        </w:tc>
        <w:tc>
          <w:tcPr>
            <w:tcW w:w="2268" w:type="dxa"/>
            <w:shd w:val="clear" w:color="auto" w:fill="auto"/>
            <w:vAlign w:val="center"/>
          </w:tcPr>
          <w:p w:rsidR="00945904" w:rsidRPr="00F220D4" w:rsidRDefault="00945904" w:rsidP="004936C5">
            <w:pPr>
              <w:pStyle w:val="MDPI42tablebody"/>
              <w:spacing w:line="240" w:lineRule="auto"/>
            </w:pPr>
            <w:r w:rsidRPr="00945904">
              <w:t>0.052</w:t>
            </w:r>
          </w:p>
        </w:tc>
        <w:tc>
          <w:tcPr>
            <w:tcW w:w="1985" w:type="dxa"/>
          </w:tcPr>
          <w:p w:rsidR="00945904" w:rsidRPr="00F220D4" w:rsidRDefault="00945904" w:rsidP="004936C5">
            <w:pPr>
              <w:pStyle w:val="MDPI42tablebody"/>
              <w:spacing w:line="240" w:lineRule="auto"/>
            </w:pPr>
            <w:r w:rsidRPr="00945904">
              <w:t>0.045</w:t>
            </w:r>
          </w:p>
        </w:tc>
      </w:tr>
      <w:tr w:rsidR="00945904" w:rsidRPr="00AD6DF9" w:rsidTr="00945904">
        <w:tc>
          <w:tcPr>
            <w:tcW w:w="3969" w:type="dxa"/>
            <w:shd w:val="clear" w:color="auto" w:fill="auto"/>
            <w:vAlign w:val="center"/>
          </w:tcPr>
          <w:p w:rsidR="00945904" w:rsidRPr="0001045D" w:rsidRDefault="00945904" w:rsidP="004936C5">
            <w:pPr>
              <w:pStyle w:val="MDPI42tablebody"/>
              <w:spacing w:line="240" w:lineRule="auto"/>
            </w:pPr>
            <w:r w:rsidRPr="00945904">
              <w:t>Molar ratio of water and fuel</w:t>
            </w:r>
          </w:p>
        </w:tc>
        <w:tc>
          <w:tcPr>
            <w:tcW w:w="2268" w:type="dxa"/>
            <w:shd w:val="clear" w:color="auto" w:fill="auto"/>
            <w:vAlign w:val="center"/>
          </w:tcPr>
          <w:p w:rsidR="00945904" w:rsidRPr="007A11D8" w:rsidRDefault="00945904" w:rsidP="004936C5">
            <w:pPr>
              <w:pStyle w:val="MDPI42tablebody"/>
              <w:spacing w:line="240" w:lineRule="auto"/>
              <w:rPr>
                <w:vertAlign w:val="superscript"/>
                <w:lang w:val="ru-RU"/>
              </w:rPr>
            </w:pPr>
            <w:r>
              <w:t>-</w:t>
            </w:r>
          </w:p>
        </w:tc>
        <w:tc>
          <w:tcPr>
            <w:tcW w:w="2268" w:type="dxa"/>
            <w:shd w:val="clear" w:color="auto" w:fill="auto"/>
            <w:vAlign w:val="center"/>
          </w:tcPr>
          <w:p w:rsidR="00945904" w:rsidRPr="0001045D" w:rsidRDefault="00945904" w:rsidP="004936C5">
            <w:pPr>
              <w:pStyle w:val="MDPI42tablebody"/>
              <w:spacing w:line="240" w:lineRule="auto"/>
            </w:pPr>
            <w:r>
              <w:t>1.7</w:t>
            </w:r>
          </w:p>
        </w:tc>
        <w:tc>
          <w:tcPr>
            <w:tcW w:w="1985" w:type="dxa"/>
          </w:tcPr>
          <w:p w:rsidR="00945904" w:rsidRPr="00F220D4" w:rsidRDefault="00945904" w:rsidP="004936C5">
            <w:pPr>
              <w:pStyle w:val="MDPI42tablebody"/>
              <w:spacing w:line="240" w:lineRule="auto"/>
            </w:pPr>
            <w:r>
              <w:t>1</w:t>
            </w:r>
          </w:p>
        </w:tc>
      </w:tr>
      <w:tr w:rsidR="00945904" w:rsidRPr="00AD6DF9" w:rsidTr="00945904">
        <w:tc>
          <w:tcPr>
            <w:tcW w:w="3969" w:type="dxa"/>
            <w:shd w:val="clear" w:color="auto" w:fill="auto"/>
            <w:vAlign w:val="center"/>
          </w:tcPr>
          <w:p w:rsidR="00945904" w:rsidRPr="0001045D" w:rsidRDefault="00945904" w:rsidP="004936C5">
            <w:pPr>
              <w:pStyle w:val="MDPI42tablebody"/>
              <w:spacing w:line="240" w:lineRule="auto"/>
            </w:pPr>
            <w:r w:rsidRPr="00945904">
              <w:t>Reagent utilization rate</w:t>
            </w:r>
          </w:p>
        </w:tc>
        <w:tc>
          <w:tcPr>
            <w:tcW w:w="2268" w:type="dxa"/>
            <w:shd w:val="clear" w:color="auto" w:fill="auto"/>
            <w:vAlign w:val="center"/>
          </w:tcPr>
          <w:p w:rsidR="00945904" w:rsidRPr="007A11D8" w:rsidRDefault="00945904" w:rsidP="004936C5">
            <w:pPr>
              <w:pStyle w:val="MDPI42tablebody"/>
              <w:spacing w:line="240" w:lineRule="auto"/>
              <w:rPr>
                <w:vertAlign w:val="superscript"/>
                <w:lang w:val="ru-RU"/>
              </w:rPr>
            </w:pPr>
            <w:r w:rsidRPr="00945904">
              <w:t>0.66 Н</w:t>
            </w:r>
            <w:r w:rsidRPr="00945904">
              <w:rPr>
                <w:vertAlign w:val="subscript"/>
              </w:rPr>
              <w:t>2</w:t>
            </w:r>
          </w:p>
        </w:tc>
        <w:tc>
          <w:tcPr>
            <w:tcW w:w="2268" w:type="dxa"/>
            <w:shd w:val="clear" w:color="auto" w:fill="auto"/>
            <w:vAlign w:val="center"/>
          </w:tcPr>
          <w:p w:rsidR="00945904" w:rsidRPr="0001045D" w:rsidRDefault="00945904" w:rsidP="004936C5">
            <w:pPr>
              <w:pStyle w:val="MDPI42tablebody"/>
              <w:spacing w:line="240" w:lineRule="auto"/>
            </w:pPr>
            <w:r w:rsidRPr="00945904">
              <w:t>0.71 СН</w:t>
            </w:r>
            <w:r w:rsidRPr="00945904">
              <w:rPr>
                <w:vertAlign w:val="subscript"/>
              </w:rPr>
              <w:t>4</w:t>
            </w:r>
          </w:p>
        </w:tc>
        <w:tc>
          <w:tcPr>
            <w:tcW w:w="1985" w:type="dxa"/>
          </w:tcPr>
          <w:p w:rsidR="00945904" w:rsidRDefault="00945904" w:rsidP="00945904">
            <w:pPr>
              <w:pStyle w:val="MDPI42tablebody"/>
              <w:spacing w:line="240" w:lineRule="auto"/>
            </w:pPr>
            <w:r>
              <w:t>0.7 СН</w:t>
            </w:r>
            <w:r w:rsidRPr="00945904">
              <w:rPr>
                <w:vertAlign w:val="subscript"/>
              </w:rPr>
              <w:t>4</w:t>
            </w:r>
          </w:p>
          <w:p w:rsidR="00945904" w:rsidRDefault="00945904" w:rsidP="00945904">
            <w:pPr>
              <w:pStyle w:val="MDPI42tablebody"/>
              <w:spacing w:line="240" w:lineRule="auto"/>
            </w:pPr>
            <w:r>
              <w:t>0.375 СО</w:t>
            </w:r>
          </w:p>
          <w:p w:rsidR="00945904" w:rsidRPr="00F220D4" w:rsidRDefault="00945904" w:rsidP="00945904">
            <w:pPr>
              <w:pStyle w:val="MDPI42tablebody"/>
              <w:spacing w:line="240" w:lineRule="auto"/>
            </w:pPr>
            <w:r>
              <w:t>0.44 Н</w:t>
            </w:r>
            <w:r w:rsidRPr="00945904">
              <w:rPr>
                <w:vertAlign w:val="subscript"/>
              </w:rPr>
              <w:t>2</w:t>
            </w:r>
          </w:p>
        </w:tc>
      </w:tr>
      <w:tr w:rsidR="00945904" w:rsidRPr="00AD6DF9" w:rsidTr="00945904">
        <w:tc>
          <w:tcPr>
            <w:tcW w:w="3969" w:type="dxa"/>
            <w:shd w:val="clear" w:color="auto" w:fill="auto"/>
            <w:vAlign w:val="center"/>
          </w:tcPr>
          <w:p w:rsidR="00945904" w:rsidRPr="0001045D" w:rsidRDefault="00945904" w:rsidP="004936C5">
            <w:pPr>
              <w:pStyle w:val="MDPI42tablebody"/>
              <w:spacing w:line="240" w:lineRule="auto"/>
            </w:pPr>
            <w:r w:rsidRPr="00945904">
              <w:t>Temperature gradient, K</w:t>
            </w:r>
          </w:p>
        </w:tc>
        <w:tc>
          <w:tcPr>
            <w:tcW w:w="2268" w:type="dxa"/>
            <w:shd w:val="clear" w:color="auto" w:fill="auto"/>
            <w:vAlign w:val="center"/>
          </w:tcPr>
          <w:p w:rsidR="00945904" w:rsidRPr="0001045D" w:rsidRDefault="00945904" w:rsidP="004936C5">
            <w:pPr>
              <w:pStyle w:val="MDPI42tablebody"/>
              <w:spacing w:line="240" w:lineRule="auto"/>
            </w:pPr>
            <w:r w:rsidRPr="00945904">
              <w:t>21.7</w:t>
            </w:r>
          </w:p>
        </w:tc>
        <w:tc>
          <w:tcPr>
            <w:tcW w:w="2268" w:type="dxa"/>
            <w:shd w:val="clear" w:color="auto" w:fill="auto"/>
            <w:vAlign w:val="center"/>
          </w:tcPr>
          <w:p w:rsidR="00945904" w:rsidRPr="0001045D" w:rsidRDefault="00945904" w:rsidP="004936C5">
            <w:pPr>
              <w:pStyle w:val="MDPI42tablebody"/>
              <w:spacing w:line="240" w:lineRule="auto"/>
            </w:pPr>
            <w:r>
              <w:t>4</w:t>
            </w:r>
            <w:r w:rsidRPr="00945904">
              <w:t>1.7</w:t>
            </w:r>
          </w:p>
        </w:tc>
        <w:tc>
          <w:tcPr>
            <w:tcW w:w="1985" w:type="dxa"/>
          </w:tcPr>
          <w:p w:rsidR="00945904" w:rsidRPr="00F220D4" w:rsidRDefault="00945904" w:rsidP="004936C5">
            <w:pPr>
              <w:pStyle w:val="MDPI42tablebody"/>
              <w:spacing w:line="240" w:lineRule="auto"/>
            </w:pPr>
            <w:r>
              <w:t>33</w:t>
            </w:r>
          </w:p>
        </w:tc>
      </w:tr>
      <w:tr w:rsidR="00945904" w:rsidRPr="00AD6DF9" w:rsidTr="00945904">
        <w:tc>
          <w:tcPr>
            <w:tcW w:w="3969" w:type="dxa"/>
            <w:shd w:val="clear" w:color="auto" w:fill="auto"/>
            <w:vAlign w:val="center"/>
          </w:tcPr>
          <w:p w:rsidR="00945904" w:rsidRPr="0001045D" w:rsidRDefault="00945904" w:rsidP="004936C5">
            <w:pPr>
              <w:pStyle w:val="MDPI42tablebody"/>
              <w:spacing w:line="240" w:lineRule="auto"/>
            </w:pPr>
            <w:r w:rsidRPr="00945904">
              <w:t>Thermal power, W</w:t>
            </w:r>
          </w:p>
        </w:tc>
        <w:tc>
          <w:tcPr>
            <w:tcW w:w="2268" w:type="dxa"/>
            <w:shd w:val="clear" w:color="auto" w:fill="auto"/>
            <w:vAlign w:val="center"/>
          </w:tcPr>
          <w:p w:rsidR="00945904" w:rsidRPr="0001045D" w:rsidRDefault="00945904" w:rsidP="004936C5">
            <w:pPr>
              <w:pStyle w:val="MDPI42tablebody"/>
              <w:spacing w:line="240" w:lineRule="auto"/>
            </w:pPr>
            <w:r>
              <w:t>25.2</w:t>
            </w:r>
          </w:p>
        </w:tc>
        <w:tc>
          <w:tcPr>
            <w:tcW w:w="2268" w:type="dxa"/>
            <w:shd w:val="clear" w:color="auto" w:fill="auto"/>
            <w:vAlign w:val="center"/>
          </w:tcPr>
          <w:p w:rsidR="00945904" w:rsidRPr="0001045D" w:rsidRDefault="00945904" w:rsidP="004936C5">
            <w:pPr>
              <w:pStyle w:val="MDPI42tablebody"/>
              <w:spacing w:line="240" w:lineRule="auto"/>
            </w:pPr>
            <w:r w:rsidRPr="00945904">
              <w:t>48.4</w:t>
            </w:r>
          </w:p>
        </w:tc>
        <w:tc>
          <w:tcPr>
            <w:tcW w:w="1985" w:type="dxa"/>
          </w:tcPr>
          <w:p w:rsidR="00945904" w:rsidRPr="00F220D4" w:rsidRDefault="00945904" w:rsidP="004936C5">
            <w:pPr>
              <w:pStyle w:val="MDPI42tablebody"/>
              <w:spacing w:line="240" w:lineRule="auto"/>
            </w:pPr>
            <w:r>
              <w:t>39.6</w:t>
            </w:r>
          </w:p>
        </w:tc>
      </w:tr>
      <w:tr w:rsidR="00945904" w:rsidRPr="00AD6DF9" w:rsidTr="00945904">
        <w:tc>
          <w:tcPr>
            <w:tcW w:w="3969" w:type="dxa"/>
            <w:shd w:val="clear" w:color="auto" w:fill="auto"/>
            <w:vAlign w:val="center"/>
          </w:tcPr>
          <w:p w:rsidR="00945904" w:rsidRPr="0001045D" w:rsidRDefault="00945904" w:rsidP="004936C5">
            <w:pPr>
              <w:pStyle w:val="MDPI42tablebody"/>
              <w:spacing w:line="240" w:lineRule="auto"/>
            </w:pPr>
            <w:r w:rsidRPr="00945904">
              <w:t>Lower calorific value of fuel, MJ/kg</w:t>
            </w:r>
          </w:p>
        </w:tc>
        <w:tc>
          <w:tcPr>
            <w:tcW w:w="2268" w:type="dxa"/>
            <w:shd w:val="clear" w:color="auto" w:fill="auto"/>
            <w:vAlign w:val="center"/>
          </w:tcPr>
          <w:p w:rsidR="00945904" w:rsidRPr="0001045D" w:rsidRDefault="00945904" w:rsidP="004936C5">
            <w:pPr>
              <w:pStyle w:val="MDPI42tablebody"/>
              <w:spacing w:line="240" w:lineRule="auto"/>
            </w:pPr>
            <w:r>
              <w:t>140</w:t>
            </w:r>
          </w:p>
        </w:tc>
        <w:tc>
          <w:tcPr>
            <w:tcW w:w="2268" w:type="dxa"/>
            <w:shd w:val="clear" w:color="auto" w:fill="auto"/>
            <w:vAlign w:val="center"/>
          </w:tcPr>
          <w:p w:rsidR="00945904" w:rsidRPr="0001045D" w:rsidRDefault="00945904" w:rsidP="004936C5">
            <w:pPr>
              <w:pStyle w:val="MDPI42tablebody"/>
              <w:spacing w:line="240" w:lineRule="auto"/>
            </w:pPr>
            <w:r>
              <w:t>50</w:t>
            </w:r>
          </w:p>
        </w:tc>
        <w:tc>
          <w:tcPr>
            <w:tcW w:w="1985" w:type="dxa"/>
          </w:tcPr>
          <w:p w:rsidR="00945904" w:rsidRPr="00F220D4" w:rsidRDefault="00945904" w:rsidP="004936C5">
            <w:pPr>
              <w:pStyle w:val="MDPI42tablebody"/>
              <w:spacing w:line="240" w:lineRule="auto"/>
            </w:pPr>
            <w:r>
              <w:t>76</w:t>
            </w:r>
          </w:p>
        </w:tc>
      </w:tr>
    </w:tbl>
    <w:p w:rsidR="004E7DCC" w:rsidRPr="004E7DCC" w:rsidRDefault="004E7DCC" w:rsidP="004E7DCC">
      <w:pPr>
        <w:pStyle w:val="MDPI31text"/>
      </w:pPr>
      <w:r w:rsidRPr="004E7DCC">
        <w:t>According to the results of the study, the highest electrical efficiency can be obtained when operating SOFC on hydrogen. Synthesis gas obtained by reforming industrial waste also shows good results in terms of efficiency, fuel consumption, and reagent utilization due to its high content of hydrogen, methane and carbon monoxide.</w:t>
      </w:r>
    </w:p>
    <w:p w:rsidR="004E7DCC" w:rsidRPr="004E7DCC" w:rsidRDefault="004E7DCC" w:rsidP="004E7DCC">
      <w:pPr>
        <w:pStyle w:val="MDPI31text"/>
      </w:pPr>
      <w:r w:rsidRPr="004E7DCC">
        <w:t>The ratio of steam to methane is 1.7. The obtained value is within the range of acceptable values indicated in the literature (1.7-2.5), in which no carbon deposits are observed. In the case of using synthesis gas, additional water is formed in the reaction of hydrogen with oxygen, which can also be used for methane reforming.</w:t>
      </w:r>
    </w:p>
    <w:p w:rsidR="00C07671" w:rsidRPr="006A0D66" w:rsidRDefault="004E7DCC" w:rsidP="004E7DCC">
      <w:pPr>
        <w:pStyle w:val="MDPI31text"/>
        <w:rPr>
          <w:b/>
          <w:color w:val="FF0000"/>
        </w:rPr>
      </w:pPr>
      <w:r w:rsidRPr="004E7DCC">
        <w:t>The heat generated by the fuel cell can be used for pre-reforming or for hybridization of the cycle with other power plants. The largest amount of heat can be obtained by using methane as a fuel.</w:t>
      </w:r>
    </w:p>
    <w:p w:rsidR="002239DD" w:rsidRDefault="002239DD" w:rsidP="002239DD">
      <w:pPr>
        <w:pStyle w:val="MDPI21heading1"/>
      </w:pPr>
      <w:r>
        <w:lastRenderedPageBreak/>
        <w:t xml:space="preserve">3. </w:t>
      </w:r>
      <w:r w:rsidRPr="002239DD">
        <w:t>Conclusion</w:t>
      </w:r>
    </w:p>
    <w:p w:rsidR="005D34AD" w:rsidRPr="00FA04F1" w:rsidRDefault="002239DD" w:rsidP="002239DD">
      <w:pPr>
        <w:pStyle w:val="MDPI31text"/>
      </w:pPr>
      <w:r w:rsidRPr="002239DD">
        <w:t xml:space="preserve">The authors present a model of the SOFC membrane-electrode module, which takes into account the influence of hydro-gas dynamics, mass transfer, the effects of electrochemical and thermal transfer in the cell structure. The mathematical model includes interconnected equations of momentum, mass, heat and charge transfer, electrochemical reaction, and reforming reactions. Model verification and validation is provided by experimental data. Numerical stability and simulation capabilities of this </w:t>
      </w:r>
      <w:proofErr w:type="spellStart"/>
      <w:r w:rsidRPr="002239DD">
        <w:t>multiphysics</w:t>
      </w:r>
      <w:proofErr w:type="spellEnd"/>
      <w:r w:rsidRPr="002239DD">
        <w:t xml:space="preserve"> model are provided by the computational grid, which consists of 2.2 million cells. The paper provides detailed information on the distribution of chemical flows, temperature, current density, etc. With the help of numerical simulation, the influence of various types of fuel on the efficiency of SOFC was studied. It is shown that fuel from petrochemical wastes has high electrical and thermal efficiency with an average consumption of reagents and high fuel utilization factor.</w:t>
      </w:r>
    </w:p>
    <w:p w:rsidR="002239DD" w:rsidRDefault="002239DD" w:rsidP="002239DD">
      <w:pPr>
        <w:pStyle w:val="MDPI21heading1"/>
      </w:pPr>
      <w:r>
        <w:t xml:space="preserve">3. </w:t>
      </w:r>
      <w:r w:rsidRPr="002239DD">
        <w:t>Acknowledgment</w:t>
      </w:r>
    </w:p>
    <w:p w:rsidR="005D34AD" w:rsidRDefault="002239DD" w:rsidP="005D34AD">
      <w:pPr>
        <w:pStyle w:val="MDPI31text"/>
      </w:pPr>
      <w:r w:rsidRPr="002239DD">
        <w:t>The results were obtained with the financial support of Ministry of Science and Higher Education of the Russian Federation “Study of processes in a fuel cell-gas turbine hybrid power plant” (project code: FZSW-2022-0001).</w:t>
      </w:r>
    </w:p>
    <w:p w:rsidR="005D34AD" w:rsidRDefault="005D34AD" w:rsidP="005D34AD">
      <w:pPr>
        <w:pStyle w:val="MDPI31text"/>
      </w:pPr>
    </w:p>
    <w:p w:rsidR="00350C6E" w:rsidRPr="00FA04F1" w:rsidRDefault="00350C6E" w:rsidP="00DC443A">
      <w:pPr>
        <w:pStyle w:val="MDPI21heading1"/>
        <w:ind w:left="0"/>
      </w:pPr>
      <w:r w:rsidRPr="00FA04F1">
        <w:t>References</w:t>
      </w:r>
    </w:p>
    <w:p w:rsidR="00350C6E" w:rsidRPr="00325902" w:rsidRDefault="00350C6E" w:rsidP="002259E3">
      <w:pPr>
        <w:pStyle w:val="MDPI71References"/>
        <w:numPr>
          <w:ilvl w:val="0"/>
          <w:numId w:val="0"/>
        </w:numPr>
        <w:ind w:left="425"/>
      </w:pPr>
    </w:p>
    <w:p w:rsidR="002239DD" w:rsidRDefault="002239DD" w:rsidP="002239DD">
      <w:pPr>
        <w:pStyle w:val="MDPI71References"/>
      </w:pPr>
      <w:proofErr w:type="spellStart"/>
      <w:r w:rsidRPr="000168DC">
        <w:t>Iliev</w:t>
      </w:r>
      <w:proofErr w:type="spellEnd"/>
      <w:r>
        <w:t xml:space="preserve"> </w:t>
      </w:r>
      <w:r w:rsidRPr="000168DC">
        <w:t>I</w:t>
      </w:r>
      <w:r>
        <w:t xml:space="preserve"> </w:t>
      </w:r>
      <w:r w:rsidRPr="000168DC">
        <w:t>K</w:t>
      </w:r>
      <w:r w:rsidRPr="00E410A5">
        <w:t>,</w:t>
      </w:r>
      <w:r>
        <w:t xml:space="preserve"> </w:t>
      </w:r>
      <w:proofErr w:type="spellStart"/>
      <w:r w:rsidRPr="000168DC">
        <w:t>Filimonova</w:t>
      </w:r>
      <w:proofErr w:type="spellEnd"/>
      <w:r w:rsidRPr="000168DC">
        <w:t xml:space="preserve"> A</w:t>
      </w:r>
      <w:r w:rsidRPr="00E410A5">
        <w:t xml:space="preserve"> </w:t>
      </w:r>
      <w:proofErr w:type="spellStart"/>
      <w:r w:rsidRPr="000168DC">
        <w:t>A</w:t>
      </w:r>
      <w:proofErr w:type="spellEnd"/>
      <w:r w:rsidRPr="00E410A5">
        <w:t>,</w:t>
      </w:r>
      <w:r w:rsidRPr="000168DC">
        <w:t xml:space="preserve"> </w:t>
      </w:r>
      <w:proofErr w:type="spellStart"/>
      <w:r w:rsidRPr="000168DC">
        <w:t>Chichirov</w:t>
      </w:r>
      <w:proofErr w:type="spellEnd"/>
      <w:r>
        <w:t xml:space="preserve"> A</w:t>
      </w:r>
      <w:r w:rsidRPr="00E410A5">
        <w:t xml:space="preserve"> </w:t>
      </w:r>
      <w:proofErr w:type="spellStart"/>
      <w:r>
        <w:t>A</w:t>
      </w:r>
      <w:proofErr w:type="spellEnd"/>
      <w:r w:rsidRPr="00E410A5">
        <w:t>,</w:t>
      </w:r>
      <w:r>
        <w:t xml:space="preserve"> </w:t>
      </w:r>
      <w:proofErr w:type="spellStart"/>
      <w:r>
        <w:t>Chichirova</w:t>
      </w:r>
      <w:proofErr w:type="spellEnd"/>
      <w:r>
        <w:t xml:space="preserve"> N</w:t>
      </w:r>
      <w:r w:rsidRPr="00E410A5">
        <w:t xml:space="preserve"> </w:t>
      </w:r>
      <w:r>
        <w:t>D</w:t>
      </w:r>
      <w:r w:rsidRPr="00E410A5">
        <w:t>,</w:t>
      </w:r>
      <w:r>
        <w:t xml:space="preserve"> </w:t>
      </w:r>
      <w:proofErr w:type="spellStart"/>
      <w:r>
        <w:t>Pechenkin</w:t>
      </w:r>
      <w:proofErr w:type="spellEnd"/>
      <w:r>
        <w:t xml:space="preserve"> A</w:t>
      </w:r>
      <w:r w:rsidRPr="00E410A5">
        <w:t xml:space="preserve"> </w:t>
      </w:r>
      <w:r>
        <w:t>V</w:t>
      </w:r>
      <w:r w:rsidRPr="00E410A5">
        <w:t>,</w:t>
      </w:r>
      <w:r>
        <w:t xml:space="preserve"> </w:t>
      </w:r>
      <w:proofErr w:type="spellStart"/>
      <w:r>
        <w:t>Vinogradov</w:t>
      </w:r>
      <w:proofErr w:type="spellEnd"/>
      <w:r>
        <w:t xml:space="preserve"> A</w:t>
      </w:r>
      <w:r w:rsidRPr="00E410A5">
        <w:t xml:space="preserve"> </w:t>
      </w:r>
      <w:r>
        <w:t>S</w:t>
      </w:r>
      <w:r w:rsidRPr="00E410A5">
        <w:t>,</w:t>
      </w:r>
      <w:r w:rsidRPr="000168DC">
        <w:t xml:space="preserve"> </w:t>
      </w:r>
      <w:r w:rsidRPr="004344E9">
        <w:rPr>
          <w:bCs/>
        </w:rPr>
        <w:t>2023</w:t>
      </w:r>
      <w:r w:rsidRPr="009F1083">
        <w:rPr>
          <w:b/>
          <w:bCs/>
        </w:rPr>
        <w:t xml:space="preserve"> </w:t>
      </w:r>
      <w:r w:rsidRPr="000168DC">
        <w:t xml:space="preserve">Theoretical and Experimental Studies of Combined Heat and Power Systems with </w:t>
      </w:r>
      <w:r>
        <w:t>SOFCs</w:t>
      </w:r>
      <w:r w:rsidRPr="000168DC">
        <w:t> </w:t>
      </w:r>
      <w:r w:rsidRPr="00E410A5">
        <w:rPr>
          <w:i/>
          <w:iCs/>
        </w:rPr>
        <w:t>Energies</w:t>
      </w:r>
      <w:r w:rsidRPr="00E410A5">
        <w:t> </w:t>
      </w:r>
      <w:r w:rsidRPr="004344E9">
        <w:rPr>
          <w:b/>
          <w:iCs/>
        </w:rPr>
        <w:t xml:space="preserve">16 </w:t>
      </w:r>
      <w:r>
        <w:t>1898</w:t>
      </w:r>
    </w:p>
    <w:p w:rsidR="002239DD" w:rsidRPr="000A0181" w:rsidRDefault="002239DD" w:rsidP="002239DD">
      <w:pPr>
        <w:pStyle w:val="MDPI71References"/>
      </w:pPr>
      <w:r w:rsidRPr="000A0181">
        <w:t>Hussain</w:t>
      </w:r>
      <w:r w:rsidRPr="0069662A">
        <w:t xml:space="preserve"> </w:t>
      </w:r>
      <w:r w:rsidRPr="000A0181">
        <w:t>J, Ali</w:t>
      </w:r>
      <w:r w:rsidRPr="0069662A">
        <w:t xml:space="preserve"> </w:t>
      </w:r>
      <w:r w:rsidRPr="000A0181">
        <w:t>R, Akhtar</w:t>
      </w:r>
      <w:r w:rsidRPr="0069662A">
        <w:t xml:space="preserve"> </w:t>
      </w:r>
      <w:r w:rsidRPr="000A0181">
        <w:t xml:space="preserve">M N, </w:t>
      </w:r>
      <w:proofErr w:type="spellStart"/>
      <w:r w:rsidRPr="000A0181">
        <w:t>Jaffery</w:t>
      </w:r>
      <w:proofErr w:type="spellEnd"/>
      <w:r w:rsidRPr="0069662A">
        <w:t xml:space="preserve"> </w:t>
      </w:r>
      <w:r w:rsidRPr="000A0181">
        <w:t>M H, Shakir</w:t>
      </w:r>
      <w:r w:rsidRPr="0069662A">
        <w:t xml:space="preserve"> </w:t>
      </w:r>
      <w:r w:rsidRPr="000A0181">
        <w:t>I, Raza</w:t>
      </w:r>
      <w:r w:rsidRPr="0069662A">
        <w:t xml:space="preserve"> </w:t>
      </w:r>
      <w:r w:rsidRPr="000A0181">
        <w:t>R,</w:t>
      </w:r>
      <w:r>
        <w:t xml:space="preserve"> </w:t>
      </w:r>
      <w:r w:rsidRPr="000A0181">
        <w:t>2020</w:t>
      </w:r>
      <w:r>
        <w:t xml:space="preserve"> </w:t>
      </w:r>
      <w:r w:rsidRPr="000A0181">
        <w:t>Modeling and simulation of planar SOFC to study the electrochemical properties</w:t>
      </w:r>
      <w:r>
        <w:t xml:space="preserve"> </w:t>
      </w:r>
      <w:proofErr w:type="spellStart"/>
      <w:r>
        <w:rPr>
          <w:i/>
        </w:rPr>
        <w:t>Curr</w:t>
      </w:r>
      <w:proofErr w:type="spellEnd"/>
      <w:r w:rsidRPr="004344E9">
        <w:rPr>
          <w:i/>
        </w:rPr>
        <w:t>.</w:t>
      </w:r>
      <w:r w:rsidRPr="009F1083">
        <w:rPr>
          <w:i/>
        </w:rPr>
        <w:t xml:space="preserve"> Appl</w:t>
      </w:r>
      <w:r w:rsidRPr="004344E9">
        <w:rPr>
          <w:i/>
        </w:rPr>
        <w:t>.</w:t>
      </w:r>
      <w:r w:rsidRPr="009F1083">
        <w:rPr>
          <w:i/>
        </w:rPr>
        <w:t xml:space="preserve"> Phys</w:t>
      </w:r>
      <w:r w:rsidRPr="004344E9">
        <w:rPr>
          <w:i/>
        </w:rPr>
        <w:t xml:space="preserve">. </w:t>
      </w:r>
      <w:r w:rsidRPr="004344E9">
        <w:rPr>
          <w:b/>
        </w:rPr>
        <w:t>20</w:t>
      </w:r>
      <w:r>
        <w:t xml:space="preserve"> (</w:t>
      </w:r>
      <w:r w:rsidRPr="000A0181">
        <w:t>5</w:t>
      </w:r>
      <w:r>
        <w:t>)</w:t>
      </w:r>
      <w:r w:rsidRPr="004344E9">
        <w:t xml:space="preserve"> </w:t>
      </w:r>
      <w:r>
        <w:t>p</w:t>
      </w:r>
      <w:r w:rsidRPr="000A0181">
        <w:t xml:space="preserve"> </w:t>
      </w:r>
      <w:r>
        <w:t>660-672</w:t>
      </w:r>
    </w:p>
    <w:p w:rsidR="002239DD" w:rsidRPr="000A0181" w:rsidRDefault="002239DD" w:rsidP="002239DD">
      <w:pPr>
        <w:pStyle w:val="MDPI71References"/>
      </w:pPr>
      <w:r w:rsidRPr="000A0181">
        <w:t>Andersson</w:t>
      </w:r>
      <w:r w:rsidRPr="0069662A">
        <w:t xml:space="preserve"> </w:t>
      </w:r>
      <w:r w:rsidRPr="000A0181">
        <w:t>M, Yuan</w:t>
      </w:r>
      <w:r w:rsidRPr="0069662A">
        <w:t xml:space="preserve"> </w:t>
      </w:r>
      <w:r w:rsidRPr="000A0181">
        <w:t xml:space="preserve">J, </w:t>
      </w:r>
      <w:proofErr w:type="spellStart"/>
      <w:r w:rsidRPr="000A0181">
        <w:t>Sundén</w:t>
      </w:r>
      <w:proofErr w:type="spellEnd"/>
      <w:r w:rsidRPr="0069662A">
        <w:t xml:space="preserve"> </w:t>
      </w:r>
      <w:r w:rsidRPr="000A0181">
        <w:t>B,</w:t>
      </w:r>
      <w:r>
        <w:t xml:space="preserve"> </w:t>
      </w:r>
      <w:r w:rsidRPr="000A0181">
        <w:t>2012</w:t>
      </w:r>
      <w:r>
        <w:t xml:space="preserve"> </w:t>
      </w:r>
      <w:r w:rsidRPr="000A0181">
        <w:t xml:space="preserve">SOFC modeling considering electrochemical reactions at the active three phase </w:t>
      </w:r>
      <w:r>
        <w:t xml:space="preserve">boundaries </w:t>
      </w:r>
      <w:r>
        <w:rPr>
          <w:i/>
        </w:rPr>
        <w:t>Int</w:t>
      </w:r>
      <w:r w:rsidRPr="004344E9">
        <w:rPr>
          <w:i/>
        </w:rPr>
        <w:t>.</w:t>
      </w:r>
      <w:r w:rsidRPr="009F1083">
        <w:rPr>
          <w:i/>
        </w:rPr>
        <w:t xml:space="preserve"> J</w:t>
      </w:r>
      <w:r w:rsidRPr="004344E9">
        <w:rPr>
          <w:i/>
        </w:rPr>
        <w:t>.</w:t>
      </w:r>
      <w:r w:rsidRPr="009F1083">
        <w:rPr>
          <w:i/>
        </w:rPr>
        <w:t xml:space="preserve"> Heat Mass </w:t>
      </w:r>
      <w:r>
        <w:rPr>
          <w:i/>
        </w:rPr>
        <w:t>Transf</w:t>
      </w:r>
      <w:r w:rsidRPr="004344E9">
        <w:rPr>
          <w:i/>
        </w:rPr>
        <w:t>.</w:t>
      </w:r>
      <w:r>
        <w:t xml:space="preserve"> </w:t>
      </w:r>
      <w:r w:rsidRPr="004344E9">
        <w:rPr>
          <w:b/>
        </w:rPr>
        <w:t>55</w:t>
      </w:r>
      <w:r>
        <w:t xml:space="preserve"> (</w:t>
      </w:r>
      <w:r w:rsidRPr="000A0181">
        <w:t>4</w:t>
      </w:r>
      <w:r>
        <w:t>) p 773-788</w:t>
      </w:r>
    </w:p>
    <w:p w:rsidR="002239DD" w:rsidRPr="000A0181" w:rsidRDefault="002239DD" w:rsidP="002239DD">
      <w:pPr>
        <w:pStyle w:val="MDPI71References"/>
      </w:pPr>
      <w:proofErr w:type="spellStart"/>
      <w:r w:rsidRPr="000A0181">
        <w:t>Ilbas</w:t>
      </w:r>
      <w:proofErr w:type="spellEnd"/>
      <w:r w:rsidRPr="0069662A">
        <w:t xml:space="preserve"> </w:t>
      </w:r>
      <w:r w:rsidRPr="000A0181">
        <w:t xml:space="preserve">M, </w:t>
      </w:r>
      <w:proofErr w:type="spellStart"/>
      <w:r w:rsidRPr="000A0181">
        <w:t>Kumuk</w:t>
      </w:r>
      <w:proofErr w:type="spellEnd"/>
      <w:r w:rsidRPr="0069662A">
        <w:t xml:space="preserve"> </w:t>
      </w:r>
      <w:r w:rsidRPr="000A0181">
        <w:t>B,</w:t>
      </w:r>
      <w:r>
        <w:t xml:space="preserve"> </w:t>
      </w:r>
      <w:r w:rsidRPr="000A0181">
        <w:t>2019</w:t>
      </w:r>
      <w:r>
        <w:t xml:space="preserve"> </w:t>
      </w:r>
      <w:r w:rsidRPr="000A0181">
        <w:t xml:space="preserve">Numerical modelling of a cathode-supported solid oxide fuel cell (SOFC) in comparison with an electrolyte-supported </w:t>
      </w:r>
      <w:r>
        <w:t xml:space="preserve">model </w:t>
      </w:r>
      <w:r w:rsidRPr="009F1083">
        <w:rPr>
          <w:i/>
        </w:rPr>
        <w:t>J</w:t>
      </w:r>
      <w:r w:rsidRPr="004344E9">
        <w:rPr>
          <w:i/>
        </w:rPr>
        <w:t>.</w:t>
      </w:r>
      <w:r w:rsidRPr="009F1083">
        <w:rPr>
          <w:i/>
        </w:rPr>
        <w:t xml:space="preserve"> t Energy Inst</w:t>
      </w:r>
      <w:r w:rsidRPr="004344E9">
        <w:rPr>
          <w:i/>
        </w:rPr>
        <w:t>.</w:t>
      </w:r>
      <w:r>
        <w:t xml:space="preserve"> </w:t>
      </w:r>
      <w:r w:rsidRPr="004344E9">
        <w:rPr>
          <w:b/>
        </w:rPr>
        <w:t>92</w:t>
      </w:r>
      <w:r w:rsidRPr="000A0181">
        <w:t xml:space="preserve"> </w:t>
      </w:r>
      <w:r>
        <w:t>(</w:t>
      </w:r>
      <w:r w:rsidRPr="000A0181">
        <w:t>3</w:t>
      </w:r>
      <w:r>
        <w:t>)</w:t>
      </w:r>
      <w:r w:rsidRPr="000A0181">
        <w:t xml:space="preserve"> </w:t>
      </w:r>
      <w:r>
        <w:t>p</w:t>
      </w:r>
      <w:r w:rsidRPr="000A0181">
        <w:t xml:space="preserve"> </w:t>
      </w:r>
      <w:r>
        <w:t>682-692</w:t>
      </w:r>
    </w:p>
    <w:p w:rsidR="002239DD" w:rsidRPr="000A0181" w:rsidRDefault="002239DD" w:rsidP="002239DD">
      <w:pPr>
        <w:pStyle w:val="MDPI71References"/>
      </w:pPr>
      <w:proofErr w:type="spellStart"/>
      <w:r w:rsidRPr="000A0181">
        <w:t>İlbaş</w:t>
      </w:r>
      <w:proofErr w:type="spellEnd"/>
      <w:r w:rsidRPr="0069662A">
        <w:t xml:space="preserve"> </w:t>
      </w:r>
      <w:r w:rsidRPr="000A0181">
        <w:t xml:space="preserve">M, </w:t>
      </w:r>
      <w:proofErr w:type="spellStart"/>
      <w:r w:rsidRPr="000A0181">
        <w:t>Kümük</w:t>
      </w:r>
      <w:proofErr w:type="spellEnd"/>
      <w:r w:rsidRPr="0069662A">
        <w:t xml:space="preserve"> </w:t>
      </w:r>
      <w:r w:rsidRPr="000A0181">
        <w:t>B,</w:t>
      </w:r>
      <w:r>
        <w:t xml:space="preserve"> </w:t>
      </w:r>
      <w:r w:rsidRPr="000A0181">
        <w:t>2020</w:t>
      </w:r>
      <w:r>
        <w:t xml:space="preserve"> </w:t>
      </w:r>
      <w:r w:rsidRPr="000A0181">
        <w:t>Modeling and analysis of a model solid oxide fuel cell running on low calorific value coal gases,</w:t>
      </w:r>
      <w:r>
        <w:t xml:space="preserve"> </w:t>
      </w:r>
      <w:r w:rsidRPr="009F1083">
        <w:rPr>
          <w:i/>
        </w:rPr>
        <w:t>Int</w:t>
      </w:r>
      <w:r w:rsidRPr="004344E9">
        <w:rPr>
          <w:i/>
        </w:rPr>
        <w:t>.</w:t>
      </w:r>
      <w:r w:rsidRPr="009F1083">
        <w:rPr>
          <w:i/>
        </w:rPr>
        <w:t xml:space="preserve"> J</w:t>
      </w:r>
      <w:r w:rsidRPr="004344E9">
        <w:rPr>
          <w:i/>
        </w:rPr>
        <w:t>.</w:t>
      </w:r>
      <w:r w:rsidRPr="009F1083">
        <w:rPr>
          <w:i/>
        </w:rPr>
        <w:t xml:space="preserve"> </w:t>
      </w:r>
      <w:proofErr w:type="spellStart"/>
      <w:r w:rsidRPr="009F1083">
        <w:rPr>
          <w:i/>
        </w:rPr>
        <w:t>Hydrog</w:t>
      </w:r>
      <w:proofErr w:type="spellEnd"/>
      <w:r w:rsidRPr="004344E9">
        <w:rPr>
          <w:i/>
        </w:rPr>
        <w:t>.</w:t>
      </w:r>
      <w:r w:rsidRPr="009F1083">
        <w:rPr>
          <w:i/>
        </w:rPr>
        <w:t xml:space="preserve"> Energy</w:t>
      </w:r>
      <w:r>
        <w:t xml:space="preserve"> </w:t>
      </w:r>
      <w:r w:rsidRPr="004344E9">
        <w:rPr>
          <w:b/>
        </w:rPr>
        <w:t>45</w:t>
      </w:r>
      <w:r>
        <w:t xml:space="preserve"> (5) p</w:t>
      </w:r>
      <w:r w:rsidRPr="000A0181">
        <w:t xml:space="preserve"> </w:t>
      </w:r>
      <w:r>
        <w:t>3577-3583</w:t>
      </w:r>
    </w:p>
    <w:p w:rsidR="002239DD" w:rsidRPr="000A0181" w:rsidRDefault="002239DD" w:rsidP="002239DD">
      <w:pPr>
        <w:pStyle w:val="MDPI71References"/>
      </w:pPr>
      <w:proofErr w:type="spellStart"/>
      <w:r w:rsidRPr="000A0181">
        <w:t>Amedi</w:t>
      </w:r>
      <w:proofErr w:type="spellEnd"/>
      <w:r w:rsidRPr="0069662A">
        <w:t xml:space="preserve"> </w:t>
      </w:r>
      <w:r w:rsidRPr="000A0181">
        <w:t xml:space="preserve">H R, </w:t>
      </w:r>
      <w:proofErr w:type="spellStart"/>
      <w:r w:rsidRPr="000A0181">
        <w:t>Bazooyar</w:t>
      </w:r>
      <w:proofErr w:type="spellEnd"/>
      <w:r w:rsidRPr="000A0181">
        <w:t xml:space="preserve"> B, </w:t>
      </w:r>
      <w:proofErr w:type="spellStart"/>
      <w:r w:rsidRPr="000A0181">
        <w:t>Pishvaie</w:t>
      </w:r>
      <w:proofErr w:type="spellEnd"/>
      <w:r w:rsidRPr="00420261">
        <w:t xml:space="preserve"> </w:t>
      </w:r>
      <w:r w:rsidRPr="000A0181">
        <w:t>M</w:t>
      </w:r>
      <w:r>
        <w:t xml:space="preserve"> </w:t>
      </w:r>
      <w:r w:rsidRPr="000A0181">
        <w:t>R,</w:t>
      </w:r>
      <w:r>
        <w:t xml:space="preserve"> 2015 </w:t>
      </w:r>
      <w:r w:rsidRPr="000A0181">
        <w:t xml:space="preserve">Control of anode supported SOFCs (solid oxide fuel cells): Part I. mathematical modeling and state estimation </w:t>
      </w:r>
      <w:r w:rsidRPr="00420261">
        <w:t>within one cell</w:t>
      </w:r>
      <w:r>
        <w:t xml:space="preserve"> </w:t>
      </w:r>
      <w:r>
        <w:rPr>
          <w:i/>
        </w:rPr>
        <w:t>Energy</w:t>
      </w:r>
      <w:r>
        <w:t xml:space="preserve"> </w:t>
      </w:r>
      <w:r w:rsidRPr="004344E9">
        <w:rPr>
          <w:b/>
        </w:rPr>
        <w:t>90</w:t>
      </w:r>
      <w:r>
        <w:t xml:space="preserve"> (1) p 605-621</w:t>
      </w:r>
    </w:p>
    <w:p w:rsidR="002239DD" w:rsidRPr="000A0181" w:rsidRDefault="002239DD" w:rsidP="002239DD">
      <w:pPr>
        <w:pStyle w:val="MDPI71References"/>
      </w:pPr>
      <w:r w:rsidRPr="000A0181">
        <w:t>Yang</w:t>
      </w:r>
      <w:r w:rsidRPr="0069662A">
        <w:t xml:space="preserve"> </w:t>
      </w:r>
      <w:r>
        <w:t>B</w:t>
      </w:r>
      <w:r w:rsidRPr="000A0181">
        <w:t>, Wang</w:t>
      </w:r>
      <w:r w:rsidRPr="0069662A">
        <w:t xml:space="preserve"> </w:t>
      </w:r>
      <w:r w:rsidRPr="000A0181">
        <w:t>J, Zhang</w:t>
      </w:r>
      <w:r w:rsidRPr="0069662A">
        <w:t xml:space="preserve"> </w:t>
      </w:r>
      <w:r w:rsidRPr="000A0181">
        <w:t>M, Shu</w:t>
      </w:r>
      <w:r w:rsidRPr="0069662A">
        <w:t xml:space="preserve"> </w:t>
      </w:r>
      <w:r w:rsidRPr="000A0181">
        <w:t>H, Yu</w:t>
      </w:r>
      <w:r w:rsidRPr="0069662A">
        <w:t xml:space="preserve"> </w:t>
      </w:r>
      <w:r w:rsidRPr="000A0181">
        <w:t>T, Zhang</w:t>
      </w:r>
      <w:r w:rsidRPr="0069662A">
        <w:t xml:space="preserve"> </w:t>
      </w:r>
      <w:r w:rsidRPr="000A0181">
        <w:t>X, Yao</w:t>
      </w:r>
      <w:r w:rsidRPr="0069662A">
        <w:t xml:space="preserve"> </w:t>
      </w:r>
      <w:r w:rsidRPr="000A0181">
        <w:t>W, Sun</w:t>
      </w:r>
      <w:r w:rsidRPr="0069662A">
        <w:t xml:space="preserve"> </w:t>
      </w:r>
      <w:r w:rsidRPr="000A0181">
        <w:t>L, 2020</w:t>
      </w:r>
      <w:r>
        <w:t xml:space="preserve"> </w:t>
      </w:r>
      <w:r w:rsidRPr="000A0181">
        <w:t>A state-of-the-art survey of solid oxide fuel cell parameter identification: Modelling,</w:t>
      </w:r>
      <w:r>
        <w:t xml:space="preserve"> methodology, and perspectives </w:t>
      </w:r>
      <w:r w:rsidRPr="009F1083">
        <w:rPr>
          <w:i/>
        </w:rPr>
        <w:t>Energy Convers</w:t>
      </w:r>
      <w:r w:rsidRPr="004344E9">
        <w:rPr>
          <w:i/>
        </w:rPr>
        <w:t xml:space="preserve">. </w:t>
      </w:r>
      <w:proofErr w:type="spellStart"/>
      <w:r w:rsidRPr="009F1083">
        <w:rPr>
          <w:i/>
        </w:rPr>
        <w:t>Manag</w:t>
      </w:r>
      <w:proofErr w:type="spellEnd"/>
      <w:r w:rsidRPr="004344E9">
        <w:rPr>
          <w:i/>
        </w:rPr>
        <w:t xml:space="preserve">. </w:t>
      </w:r>
      <w:r w:rsidRPr="004344E9">
        <w:rPr>
          <w:b/>
        </w:rPr>
        <w:t xml:space="preserve">213 </w:t>
      </w:r>
      <w:r w:rsidRPr="000A0181">
        <w:t>112856</w:t>
      </w:r>
    </w:p>
    <w:p w:rsidR="002239DD" w:rsidRPr="000A0181" w:rsidRDefault="002239DD" w:rsidP="002239DD">
      <w:pPr>
        <w:pStyle w:val="MDPI71References"/>
      </w:pPr>
      <w:proofErr w:type="spellStart"/>
      <w:r w:rsidRPr="000A0181">
        <w:t>Horr</w:t>
      </w:r>
      <w:proofErr w:type="spellEnd"/>
      <w:r w:rsidRPr="000A0181">
        <w:t xml:space="preserve"> S, </w:t>
      </w:r>
      <w:proofErr w:type="spellStart"/>
      <w:r w:rsidRPr="000A0181">
        <w:t>Mohcene</w:t>
      </w:r>
      <w:proofErr w:type="spellEnd"/>
      <w:r w:rsidRPr="0069662A">
        <w:t xml:space="preserve"> </w:t>
      </w:r>
      <w:r w:rsidRPr="000A0181">
        <w:t xml:space="preserve">H, </w:t>
      </w:r>
      <w:proofErr w:type="spellStart"/>
      <w:r w:rsidRPr="000A0181">
        <w:t>Bouguettaia</w:t>
      </w:r>
      <w:proofErr w:type="spellEnd"/>
      <w:r w:rsidRPr="000A0181">
        <w:t xml:space="preserve"> H, Moussa H</w:t>
      </w:r>
      <w:r>
        <w:t xml:space="preserve"> B,</w:t>
      </w:r>
      <w:r w:rsidRPr="000A0181">
        <w:t xml:space="preserve"> </w:t>
      </w:r>
      <w:r w:rsidRPr="0069662A">
        <w:t>2021</w:t>
      </w:r>
      <w:r>
        <w:t xml:space="preserve"> </w:t>
      </w:r>
      <w:r w:rsidRPr="000A0181">
        <w:t xml:space="preserve">Performance analysis of AS-SOFC fuel cell combining single and sinusoidal flow field: numerical study </w:t>
      </w:r>
      <w:r w:rsidRPr="00F360B7">
        <w:rPr>
          <w:i/>
        </w:rPr>
        <w:t>Renew. Energy Environ. Sustain.</w:t>
      </w:r>
      <w:r>
        <w:t xml:space="preserve"> </w:t>
      </w:r>
      <w:r w:rsidRPr="004344E9">
        <w:rPr>
          <w:b/>
        </w:rPr>
        <w:t>6</w:t>
      </w:r>
      <w:r>
        <w:t xml:space="preserve"> (18) </w:t>
      </w:r>
    </w:p>
    <w:p w:rsidR="002239DD" w:rsidRPr="000A0181" w:rsidRDefault="002239DD" w:rsidP="002239DD">
      <w:pPr>
        <w:pStyle w:val="MDPI71References"/>
      </w:pPr>
      <w:proofErr w:type="spellStart"/>
      <w:r w:rsidRPr="000A0181">
        <w:t>Błesznowski</w:t>
      </w:r>
      <w:proofErr w:type="spellEnd"/>
      <w:r w:rsidRPr="0069662A">
        <w:t xml:space="preserve"> </w:t>
      </w:r>
      <w:r w:rsidRPr="000A0181">
        <w:t>M, Sikora</w:t>
      </w:r>
      <w:r w:rsidRPr="0069662A">
        <w:t xml:space="preserve"> </w:t>
      </w:r>
      <w:r w:rsidRPr="000A0181">
        <w:t xml:space="preserve">M, </w:t>
      </w:r>
      <w:proofErr w:type="spellStart"/>
      <w:r w:rsidRPr="000A0181">
        <w:t>Kupecki</w:t>
      </w:r>
      <w:proofErr w:type="spellEnd"/>
      <w:r w:rsidRPr="0069662A">
        <w:t xml:space="preserve"> </w:t>
      </w:r>
      <w:r w:rsidRPr="000A0181">
        <w:t>J, Makowski</w:t>
      </w:r>
      <w:r>
        <w:t xml:space="preserve"> </w:t>
      </w:r>
      <w:r w:rsidRPr="000A0181">
        <w:t xml:space="preserve">Ł, </w:t>
      </w:r>
      <w:proofErr w:type="spellStart"/>
      <w:r w:rsidRPr="000A0181">
        <w:t>Orciuch</w:t>
      </w:r>
      <w:proofErr w:type="spellEnd"/>
      <w:r w:rsidRPr="00807E57">
        <w:t xml:space="preserve"> </w:t>
      </w:r>
      <w:r w:rsidRPr="000A0181">
        <w:t>W,</w:t>
      </w:r>
      <w:r>
        <w:t xml:space="preserve"> </w:t>
      </w:r>
      <w:r w:rsidRPr="000A0181">
        <w:t>2022</w:t>
      </w:r>
      <w:r>
        <w:t xml:space="preserve"> </w:t>
      </w:r>
      <w:r w:rsidRPr="000A0181">
        <w:t xml:space="preserve">Mathematical approaches to modelling the mass transfer process in solid oxide fuel cell </w:t>
      </w:r>
      <w:r>
        <w:t>anode </w:t>
      </w:r>
      <w:proofErr w:type="gramStart"/>
      <w:r w:rsidRPr="00F360B7">
        <w:rPr>
          <w:i/>
        </w:rPr>
        <w:t>Energy</w:t>
      </w:r>
      <w:r>
        <w:rPr>
          <w:i/>
        </w:rPr>
        <w:t> </w:t>
      </w:r>
      <w:r w:rsidRPr="000A0181">
        <w:t xml:space="preserve"> </w:t>
      </w:r>
      <w:r w:rsidRPr="004344E9">
        <w:rPr>
          <w:b/>
        </w:rPr>
        <w:t>239</w:t>
      </w:r>
      <w:proofErr w:type="gramEnd"/>
      <w:r w:rsidRPr="000A0181">
        <w:t xml:space="preserve"> </w:t>
      </w:r>
      <w:r>
        <w:t>(</w:t>
      </w:r>
      <w:r w:rsidRPr="000A0181">
        <w:t>A</w:t>
      </w:r>
      <w:r>
        <w:t>) 121878</w:t>
      </w:r>
    </w:p>
    <w:p w:rsidR="002239DD" w:rsidRPr="007149AB" w:rsidRDefault="002239DD" w:rsidP="002239DD">
      <w:pPr>
        <w:pStyle w:val="MDPI71References"/>
      </w:pPr>
      <w:proofErr w:type="spellStart"/>
      <w:r w:rsidRPr="007149AB">
        <w:t>Pongratz</w:t>
      </w:r>
      <w:proofErr w:type="spellEnd"/>
      <w:r w:rsidRPr="007149AB">
        <w:t xml:space="preserve"> G, </w:t>
      </w:r>
      <w:proofErr w:type="spellStart"/>
      <w:r w:rsidRPr="007149AB">
        <w:t>Subotić</w:t>
      </w:r>
      <w:proofErr w:type="spellEnd"/>
      <w:r w:rsidRPr="007149AB">
        <w:t xml:space="preserve"> V, </w:t>
      </w:r>
      <w:proofErr w:type="spellStart"/>
      <w:r w:rsidRPr="007149AB">
        <w:t>Hochenauer</w:t>
      </w:r>
      <w:proofErr w:type="spellEnd"/>
      <w:r w:rsidRPr="007149AB">
        <w:t xml:space="preserve"> C, </w:t>
      </w:r>
      <w:proofErr w:type="spellStart"/>
      <w:r w:rsidRPr="007149AB">
        <w:t>Scharler</w:t>
      </w:r>
      <w:proofErr w:type="spellEnd"/>
      <w:r w:rsidRPr="007149AB">
        <w:t xml:space="preserve"> R, Anca-</w:t>
      </w:r>
      <w:proofErr w:type="spellStart"/>
      <w:r w:rsidRPr="007149AB">
        <w:t>Couce</w:t>
      </w:r>
      <w:proofErr w:type="spellEnd"/>
      <w:r w:rsidRPr="007149AB">
        <w:t xml:space="preserve"> A, 2022</w:t>
      </w:r>
      <w:r>
        <w:t xml:space="preserve"> </w:t>
      </w:r>
      <w:r w:rsidRPr="007149AB">
        <w:t xml:space="preserve">Solid oxide fuel cell operation with biomass gasification product gases: Performance- and carbon deposition risk evaluation via a CFD modelling </w:t>
      </w:r>
      <w:r>
        <w:t>approach</w:t>
      </w:r>
      <w:r w:rsidRPr="007149AB">
        <w:t xml:space="preserve"> </w:t>
      </w:r>
      <w:r w:rsidRPr="00F360B7">
        <w:rPr>
          <w:i/>
        </w:rPr>
        <w:t>Energy</w:t>
      </w:r>
      <w:r w:rsidRPr="007149AB">
        <w:t xml:space="preserve"> </w:t>
      </w:r>
      <w:r w:rsidRPr="004344E9">
        <w:rPr>
          <w:b/>
        </w:rPr>
        <w:t>244</w:t>
      </w:r>
      <w:r w:rsidRPr="007149AB">
        <w:t xml:space="preserve"> </w:t>
      </w:r>
      <w:r>
        <w:t>(</w:t>
      </w:r>
      <w:r w:rsidRPr="007149AB">
        <w:t>B</w:t>
      </w:r>
      <w:r>
        <w:t>)</w:t>
      </w:r>
      <w:r w:rsidRPr="007149AB">
        <w:t xml:space="preserve"> 12308</w:t>
      </w:r>
      <w:r>
        <w:t>5</w:t>
      </w:r>
    </w:p>
    <w:p w:rsidR="002239DD" w:rsidRPr="000A0181" w:rsidRDefault="002239DD" w:rsidP="002239DD">
      <w:pPr>
        <w:pStyle w:val="MDPI71References"/>
      </w:pPr>
      <w:r w:rsidRPr="000A0181">
        <w:t>Kalra</w:t>
      </w:r>
      <w:r w:rsidRPr="00807E57">
        <w:t xml:space="preserve"> </w:t>
      </w:r>
      <w:r w:rsidRPr="000A0181">
        <w:t>P, Garg</w:t>
      </w:r>
      <w:r w:rsidRPr="00807E57">
        <w:t xml:space="preserve"> </w:t>
      </w:r>
      <w:r w:rsidRPr="000A0181">
        <w:t>R K, Kumar</w:t>
      </w:r>
      <w:r w:rsidRPr="00807E57">
        <w:t xml:space="preserve"> </w:t>
      </w:r>
      <w:r w:rsidRPr="000A0181">
        <w:t>A,</w:t>
      </w:r>
      <w:r w:rsidRPr="00807E57">
        <w:t xml:space="preserve"> </w:t>
      </w:r>
      <w:r w:rsidRPr="000A0181">
        <w:t>2020</w:t>
      </w:r>
      <w:r>
        <w:t xml:space="preserve"> </w:t>
      </w:r>
      <w:r w:rsidRPr="000A0181">
        <w:t>Parametric sensitivity analysis for a natural gas fueled high temperature tubular solid oxide fuel cell</w:t>
      </w:r>
      <w:r>
        <w:t xml:space="preserve"> </w:t>
      </w:r>
      <w:proofErr w:type="spellStart"/>
      <w:r w:rsidRPr="00F360B7">
        <w:rPr>
          <w:i/>
        </w:rPr>
        <w:t>Heliyon</w:t>
      </w:r>
      <w:proofErr w:type="spellEnd"/>
      <w:r w:rsidRPr="000A0181">
        <w:t xml:space="preserve"> </w:t>
      </w:r>
      <w:r w:rsidRPr="004344E9">
        <w:rPr>
          <w:b/>
        </w:rPr>
        <w:t>6</w:t>
      </w:r>
      <w:r w:rsidRPr="000A0181">
        <w:t xml:space="preserve"> </w:t>
      </w:r>
      <w:r>
        <w:t>(</w:t>
      </w:r>
      <w:r w:rsidRPr="000A0181">
        <w:t>7</w:t>
      </w:r>
      <w:r w:rsidRPr="004344E9">
        <w:t>)</w:t>
      </w:r>
      <w:r>
        <w:t xml:space="preserve"> e04450</w:t>
      </w:r>
    </w:p>
    <w:p w:rsidR="002239DD" w:rsidRPr="00807E57" w:rsidRDefault="002239DD" w:rsidP="002239DD">
      <w:pPr>
        <w:pStyle w:val="MDPI71References"/>
      </w:pPr>
      <w:r w:rsidRPr="00807E57">
        <w:t>Kim D H, Bae Y, Lee S, Son Ji-W, Shim J H, Hong J, 2020</w:t>
      </w:r>
      <w:r>
        <w:t xml:space="preserve"> </w:t>
      </w:r>
      <w:r w:rsidRPr="00807E57">
        <w:t>Thermal analysis of a 1-kW hydrogen-fueled solid oxide fuel cell stack by three-dimensional numerical simulation</w:t>
      </w:r>
      <w:r>
        <w:t xml:space="preserve"> </w:t>
      </w:r>
      <w:r w:rsidRPr="00F360B7">
        <w:rPr>
          <w:i/>
        </w:rPr>
        <w:t xml:space="preserve">Energy </w:t>
      </w:r>
      <w:proofErr w:type="spellStart"/>
      <w:r w:rsidRPr="00F360B7">
        <w:rPr>
          <w:i/>
        </w:rPr>
        <w:t>Conversi</w:t>
      </w:r>
      <w:proofErr w:type="spellEnd"/>
      <w:r w:rsidRPr="00C542F6">
        <w:rPr>
          <w:i/>
        </w:rPr>
        <w:t>.</w:t>
      </w:r>
      <w:r w:rsidRPr="00F360B7">
        <w:rPr>
          <w:i/>
        </w:rPr>
        <w:t xml:space="preserve"> </w:t>
      </w:r>
      <w:proofErr w:type="spellStart"/>
      <w:r w:rsidRPr="00F360B7">
        <w:rPr>
          <w:i/>
        </w:rPr>
        <w:t>Manag</w:t>
      </w:r>
      <w:proofErr w:type="spellEnd"/>
      <w:r w:rsidRPr="004A2856">
        <w:rPr>
          <w:i/>
        </w:rPr>
        <w:t>.</w:t>
      </w:r>
      <w:r>
        <w:t xml:space="preserve"> </w:t>
      </w:r>
      <w:r w:rsidRPr="004344E9">
        <w:rPr>
          <w:b/>
        </w:rPr>
        <w:t>222</w:t>
      </w:r>
      <w:r w:rsidRPr="00807E57">
        <w:t xml:space="preserve"> </w:t>
      </w:r>
      <w:r>
        <w:t>113213</w:t>
      </w:r>
    </w:p>
    <w:p w:rsidR="002239DD" w:rsidRPr="00E410A5" w:rsidRDefault="002239DD" w:rsidP="002239DD">
      <w:pPr>
        <w:pStyle w:val="MDPI71References"/>
      </w:pPr>
      <w:r w:rsidRPr="00E410A5">
        <w:t xml:space="preserve">Li Pei-W, </w:t>
      </w:r>
      <w:proofErr w:type="spellStart"/>
      <w:r w:rsidRPr="00E410A5">
        <w:t>Chyu</w:t>
      </w:r>
      <w:proofErr w:type="spellEnd"/>
      <w:r w:rsidRPr="00E410A5">
        <w:t xml:space="preserve"> M K, 2003</w:t>
      </w:r>
      <w:r>
        <w:t xml:space="preserve"> </w:t>
      </w:r>
      <w:r w:rsidRPr="00E410A5">
        <w:t>Simulation of the chemical/electrochemical reactions and heat/mass transfer for a tubular SOFC in a stack,</w:t>
      </w:r>
      <w:r>
        <w:t xml:space="preserve"> </w:t>
      </w:r>
      <w:r w:rsidRPr="00F360B7">
        <w:rPr>
          <w:i/>
        </w:rPr>
        <w:t>J</w:t>
      </w:r>
      <w:r w:rsidRPr="00C542F6">
        <w:rPr>
          <w:i/>
        </w:rPr>
        <w:t>.</w:t>
      </w:r>
      <w:r w:rsidRPr="00F360B7">
        <w:rPr>
          <w:i/>
        </w:rPr>
        <w:t xml:space="preserve"> Power Sources</w:t>
      </w:r>
      <w:r w:rsidRPr="004A2856">
        <w:t xml:space="preserve"> </w:t>
      </w:r>
      <w:r w:rsidRPr="00E410A5">
        <w:t xml:space="preserve">124 </w:t>
      </w:r>
      <w:r>
        <w:t>(</w:t>
      </w:r>
      <w:r w:rsidRPr="00E410A5">
        <w:t>2</w:t>
      </w:r>
      <w:r>
        <w:t>)</w:t>
      </w:r>
      <w:r w:rsidRPr="00E410A5">
        <w:t xml:space="preserve"> </w:t>
      </w:r>
      <w:r>
        <w:t>p 487-498</w:t>
      </w:r>
    </w:p>
    <w:p w:rsidR="002239DD" w:rsidRPr="00E410A5" w:rsidRDefault="002239DD" w:rsidP="002239DD">
      <w:pPr>
        <w:pStyle w:val="MDPI71References"/>
      </w:pPr>
      <w:proofErr w:type="spellStart"/>
      <w:r w:rsidRPr="00E410A5">
        <w:t>Fil</w:t>
      </w:r>
      <w:r>
        <w:t>imonova</w:t>
      </w:r>
      <w:proofErr w:type="spellEnd"/>
      <w:r>
        <w:t xml:space="preserve"> A</w:t>
      </w:r>
      <w:r w:rsidRPr="00E410A5">
        <w:t xml:space="preserve"> </w:t>
      </w:r>
      <w:proofErr w:type="spellStart"/>
      <w:r>
        <w:t>A</w:t>
      </w:r>
      <w:proofErr w:type="spellEnd"/>
      <w:r w:rsidRPr="00E410A5">
        <w:t xml:space="preserve">, </w:t>
      </w:r>
      <w:proofErr w:type="spellStart"/>
      <w:r w:rsidRPr="00E410A5">
        <w:t>Chichirov</w:t>
      </w:r>
      <w:proofErr w:type="spellEnd"/>
      <w:r w:rsidRPr="00E410A5">
        <w:t xml:space="preserve"> A </w:t>
      </w:r>
      <w:proofErr w:type="spellStart"/>
      <w:r w:rsidRPr="00E410A5">
        <w:t>A</w:t>
      </w:r>
      <w:proofErr w:type="spellEnd"/>
      <w:r>
        <w:t xml:space="preserve">, </w:t>
      </w:r>
      <w:proofErr w:type="spellStart"/>
      <w:r>
        <w:t>Chichirova</w:t>
      </w:r>
      <w:proofErr w:type="spellEnd"/>
      <w:r>
        <w:t xml:space="preserve"> N</w:t>
      </w:r>
      <w:r w:rsidRPr="00E410A5">
        <w:t xml:space="preserve"> D</w:t>
      </w:r>
      <w:r>
        <w:t xml:space="preserve">, </w:t>
      </w:r>
      <w:proofErr w:type="spellStart"/>
      <w:r>
        <w:t>Pechenkin</w:t>
      </w:r>
      <w:proofErr w:type="spellEnd"/>
      <w:r>
        <w:t xml:space="preserve"> A</w:t>
      </w:r>
      <w:r w:rsidRPr="00E410A5">
        <w:t xml:space="preserve"> </w:t>
      </w:r>
      <w:r>
        <w:t>V</w:t>
      </w:r>
      <w:r w:rsidRPr="00E410A5">
        <w:t>, 2022</w:t>
      </w:r>
      <w:r>
        <w:t xml:space="preserve"> </w:t>
      </w:r>
      <w:r w:rsidRPr="00E410A5">
        <w:t xml:space="preserve">Overview of design diagrams for solid oxide fuel cell and gas turbine hybrid systems for combined heat and power generation. </w:t>
      </w:r>
      <w:r w:rsidRPr="00F360B7">
        <w:rPr>
          <w:i/>
        </w:rPr>
        <w:t>J. Sib. Fed. Univ. Eng. &amp; Technol.</w:t>
      </w:r>
      <w:r w:rsidRPr="00E410A5">
        <w:t xml:space="preserve"> </w:t>
      </w:r>
      <w:r w:rsidRPr="004344E9">
        <w:rPr>
          <w:b/>
        </w:rPr>
        <w:t>15</w:t>
      </w:r>
      <w:r>
        <w:t>(7) p 812–834</w:t>
      </w:r>
    </w:p>
    <w:p w:rsidR="00350C6E" w:rsidRPr="00D87B50" w:rsidRDefault="008070A9" w:rsidP="008070A9">
      <w:pPr>
        <w:pStyle w:val="MDPI63Notes"/>
      </w:pPr>
      <w:r w:rsidRPr="00DA4593">
        <w:rPr>
          <w:b/>
        </w:rPr>
        <w:t>Disclaimer/Publisher’s Note:</w:t>
      </w:r>
      <w:r w:rsidRPr="00DA4593">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 instructions or products referred to in the content.</w:t>
      </w:r>
      <w:r w:rsidR="002239DD" w:rsidRPr="00DA4593">
        <w:t xml:space="preserve"> </w:t>
      </w:r>
    </w:p>
    <w:sectPr w:rsidR="00350C6E" w:rsidRPr="00D87B50" w:rsidSect="0095375E">
      <w:headerReference w:type="even" r:id="rId50"/>
      <w:headerReference w:type="default" r:id="rId51"/>
      <w:footerReference w:type="default" r:id="rId52"/>
      <w:headerReference w:type="first" r:id="rId53"/>
      <w:footerReference w:type="first" r:id="rId54"/>
      <w:type w:val="continuous"/>
      <w:pgSz w:w="11906" w:h="16838" w:code="9"/>
      <w:pgMar w:top="1417" w:right="720" w:bottom="1077" w:left="720" w:header="1020" w:footer="340" w:gutter="0"/>
      <w:lnNumType w:countBy="1" w:distance="255"/>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4C0A" w:rsidRDefault="00C84C0A">
      <w:pPr>
        <w:spacing w:line="240" w:lineRule="auto"/>
      </w:pPr>
      <w:r>
        <w:separator/>
      </w:r>
    </w:p>
  </w:endnote>
  <w:endnote w:type="continuationSeparator" w:id="0">
    <w:p w:rsidR="00C84C0A" w:rsidRDefault="00C84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64AC" w:rsidRPr="00CC2C1C" w:rsidRDefault="00E764AC" w:rsidP="00E764AC">
    <w:pPr>
      <w:pStyle w:val="a3"/>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1962" w:rsidRDefault="00801962" w:rsidP="004A2A89">
    <w:pPr>
      <w:pStyle w:val="MDPIfooterfirstpage"/>
      <w:pBdr>
        <w:top w:val="single" w:sz="4" w:space="0" w:color="000000"/>
      </w:pBdr>
      <w:adjustRightInd w:val="0"/>
      <w:snapToGrid w:val="0"/>
      <w:spacing w:before="480" w:line="100" w:lineRule="exact"/>
      <w:rPr>
        <w:i/>
      </w:rPr>
    </w:pPr>
  </w:p>
  <w:p w:rsidR="00E764AC" w:rsidRPr="008B308E" w:rsidRDefault="006175C5" w:rsidP="005673A3">
    <w:pPr>
      <w:pStyle w:val="MDPIfooterfirstpage"/>
      <w:tabs>
        <w:tab w:val="clear" w:pos="8845"/>
        <w:tab w:val="right" w:pos="10466"/>
      </w:tabs>
      <w:spacing w:line="240" w:lineRule="auto"/>
      <w:jc w:val="both"/>
      <w:rPr>
        <w:lang w:val="fr-CH"/>
      </w:rPr>
    </w:pPr>
    <w:r w:rsidRPr="006175C5">
      <w:rPr>
        <w:i/>
      </w:rPr>
      <w:t>Eng</w:t>
    </w:r>
    <w:r>
      <w:rPr>
        <w:i/>
      </w:rPr>
      <w:t xml:space="preserve">. </w:t>
    </w:r>
    <w:r w:rsidRPr="006175C5">
      <w:rPr>
        <w:i/>
      </w:rPr>
      <w:t>Proc</w:t>
    </w:r>
    <w:r>
      <w:rPr>
        <w:i/>
      </w:rPr>
      <w:t xml:space="preserve">. </w:t>
    </w:r>
    <w:r w:rsidR="00DD43CE">
      <w:rPr>
        <w:b/>
        <w:bCs/>
        <w:iCs/>
        <w:szCs w:val="16"/>
        <w:lang w:val="it-IT"/>
      </w:rPr>
      <w:t>2023</w:t>
    </w:r>
    <w:r w:rsidR="00D15588" w:rsidRPr="00812671">
      <w:rPr>
        <w:bCs/>
        <w:iCs/>
        <w:szCs w:val="16"/>
        <w:lang w:val="it-IT"/>
      </w:rPr>
      <w:t>,</w:t>
    </w:r>
    <w:r w:rsidR="00DD43CE">
      <w:rPr>
        <w:bCs/>
        <w:i/>
        <w:iCs/>
        <w:szCs w:val="16"/>
        <w:lang w:val="it-IT"/>
      </w:rPr>
      <w:t xml:space="preserve"> 5</w:t>
    </w:r>
    <w:r w:rsidR="00D15588" w:rsidRPr="00812671">
      <w:rPr>
        <w:bCs/>
        <w:iCs/>
        <w:szCs w:val="16"/>
        <w:lang w:val="it-IT"/>
      </w:rPr>
      <w:t xml:space="preserve">, </w:t>
    </w:r>
    <w:r w:rsidR="006B57F5">
      <w:rPr>
        <w:bCs/>
        <w:iCs/>
        <w:szCs w:val="16"/>
        <w:lang w:val="de-CH"/>
      </w:rPr>
      <w:t>x. https://doi.org/10.3390/xxxxx</w:t>
    </w:r>
    <w:r w:rsidR="005673A3" w:rsidRPr="008B308E">
      <w:rPr>
        <w:lang w:val="fr-CH"/>
      </w:rPr>
      <w:tab/>
    </w:r>
    <w:r w:rsidR="00E764AC" w:rsidRPr="008B308E">
      <w:rPr>
        <w:lang w:val="fr-CH"/>
      </w:rPr>
      <w:t>www.mdpi.com/journal/</w:t>
    </w:r>
    <w:proofErr w:type="spellStart"/>
    <w:r>
      <w:t>engproc</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4C0A" w:rsidRDefault="00C84C0A">
      <w:pPr>
        <w:spacing w:line="240" w:lineRule="auto"/>
      </w:pPr>
      <w:r>
        <w:separator/>
      </w:r>
    </w:p>
  </w:footnote>
  <w:footnote w:type="continuationSeparator" w:id="0">
    <w:p w:rsidR="00C84C0A" w:rsidRDefault="00C84C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64AC" w:rsidRDefault="00E764AC" w:rsidP="00E764AC">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1962" w:rsidRDefault="006175C5" w:rsidP="005673A3">
    <w:pPr>
      <w:tabs>
        <w:tab w:val="right" w:pos="10466"/>
      </w:tabs>
      <w:adjustRightInd w:val="0"/>
      <w:snapToGrid w:val="0"/>
      <w:spacing w:line="240" w:lineRule="auto"/>
      <w:rPr>
        <w:sz w:val="16"/>
        <w:szCs w:val="16"/>
      </w:rPr>
    </w:pPr>
    <w:r w:rsidRPr="006175C5">
      <w:rPr>
        <w:i/>
        <w:sz w:val="16"/>
        <w:szCs w:val="16"/>
      </w:rPr>
      <w:t xml:space="preserve">Eng. Proc. </w:t>
    </w:r>
    <w:r w:rsidR="00DD43CE">
      <w:rPr>
        <w:b/>
        <w:sz w:val="16"/>
      </w:rPr>
      <w:t>2023</w:t>
    </w:r>
    <w:r w:rsidR="00D15588" w:rsidRPr="00812671">
      <w:rPr>
        <w:sz w:val="16"/>
      </w:rPr>
      <w:t>,</w:t>
    </w:r>
    <w:r w:rsidR="00DD43CE">
      <w:rPr>
        <w:i/>
        <w:sz w:val="16"/>
      </w:rPr>
      <w:t xml:space="preserve"> 5</w:t>
    </w:r>
    <w:r w:rsidR="00D15588">
      <w:rPr>
        <w:sz w:val="16"/>
      </w:rPr>
      <w:t xml:space="preserve">, </w:t>
    </w:r>
    <w:r w:rsidR="006B57F5">
      <w:rPr>
        <w:sz w:val="16"/>
      </w:rPr>
      <w:t>x FOR PEER REVIEW</w:t>
    </w:r>
    <w:r w:rsidR="005673A3">
      <w:rPr>
        <w:sz w:val="16"/>
        <w:szCs w:val="16"/>
      </w:rPr>
      <w:tab/>
    </w:r>
    <w:r w:rsidR="003D759E">
      <w:rPr>
        <w:sz w:val="16"/>
        <w:szCs w:val="16"/>
      </w:rPr>
      <w:fldChar w:fldCharType="begin"/>
    </w:r>
    <w:r w:rsidR="003D759E">
      <w:rPr>
        <w:sz w:val="16"/>
        <w:szCs w:val="16"/>
      </w:rPr>
      <w:instrText xml:space="preserve"> PAGE   \* MERGEFORMAT </w:instrText>
    </w:r>
    <w:r w:rsidR="003D759E">
      <w:rPr>
        <w:sz w:val="16"/>
        <w:szCs w:val="16"/>
      </w:rPr>
      <w:fldChar w:fldCharType="separate"/>
    </w:r>
    <w:r w:rsidR="009F4882">
      <w:rPr>
        <w:sz w:val="16"/>
        <w:szCs w:val="16"/>
      </w:rPr>
      <w:t>2</w:t>
    </w:r>
    <w:r w:rsidR="003D759E">
      <w:rPr>
        <w:sz w:val="16"/>
        <w:szCs w:val="16"/>
      </w:rPr>
      <w:fldChar w:fldCharType="end"/>
    </w:r>
    <w:r w:rsidR="00E24349">
      <w:rPr>
        <w:sz w:val="16"/>
        <w:szCs w:val="16"/>
      </w:rPr>
      <w:t xml:space="preserve"> </w:t>
    </w:r>
    <w:r w:rsidR="00E24349">
      <w:rPr>
        <w:rFonts w:hint="eastAsia"/>
        <w:sz w:val="16"/>
        <w:szCs w:val="16"/>
      </w:rPr>
      <w:t>of</w:t>
    </w:r>
    <w:r w:rsidR="00E24349">
      <w:rPr>
        <w:sz w:val="16"/>
        <w:szCs w:val="16"/>
      </w:rPr>
      <w:t xml:space="preserve"> 4</w:t>
    </w:r>
  </w:p>
  <w:p w:rsidR="00E764AC" w:rsidRPr="004F360A" w:rsidRDefault="00E764AC" w:rsidP="004A2A89">
    <w:pPr>
      <w:pBdr>
        <w:bottom w:val="single" w:sz="4" w:space="1" w:color="000000"/>
      </w:pBdr>
      <w:tabs>
        <w:tab w:val="right" w:pos="8844"/>
      </w:tabs>
      <w:adjustRightInd w:val="0"/>
      <w:snapToGrid w:val="0"/>
      <w:spacing w:after="480" w:line="100" w:lineRule="exact"/>
      <w:jc w:val="lef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801962" w:rsidRPr="005673A3" w:rsidTr="00AD7FD3">
      <w:trPr>
        <w:trHeight w:val="686"/>
      </w:trPr>
      <w:tc>
        <w:tcPr>
          <w:tcW w:w="3679" w:type="dxa"/>
          <w:shd w:val="clear" w:color="auto" w:fill="auto"/>
          <w:vAlign w:val="center"/>
        </w:tcPr>
        <w:p w:rsidR="00801962" w:rsidRPr="00AD6DF9" w:rsidRDefault="00B82B14" w:rsidP="005673A3">
          <w:pPr>
            <w:pStyle w:val="a5"/>
            <w:pBdr>
              <w:bottom w:val="none" w:sz="0" w:space="0" w:color="auto"/>
            </w:pBdr>
            <w:jc w:val="left"/>
            <w:rPr>
              <w:rFonts w:eastAsia="DengXian"/>
              <w:b/>
              <w:bCs/>
            </w:rPr>
          </w:pPr>
          <w:r>
            <w:rPr>
              <w:rFonts w:eastAsia="DengXian"/>
              <w:b/>
              <w:bCs/>
            </w:rPr>
            <w:drawing>
              <wp:inline distT="0" distB="0" distL="0" distR="0" wp14:anchorId="2068BEA0" wp14:editId="073FA67E">
                <wp:extent cx="1310005" cy="3956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005" cy="395605"/>
                        </a:xfrm>
                        <a:prstGeom prst="rect">
                          <a:avLst/>
                        </a:prstGeom>
                        <a:noFill/>
                        <a:ln>
                          <a:noFill/>
                        </a:ln>
                      </pic:spPr>
                    </pic:pic>
                  </a:graphicData>
                </a:graphic>
              </wp:inline>
            </w:drawing>
          </w:r>
        </w:p>
      </w:tc>
      <w:tc>
        <w:tcPr>
          <w:tcW w:w="4535" w:type="dxa"/>
          <w:shd w:val="clear" w:color="auto" w:fill="auto"/>
          <w:vAlign w:val="center"/>
        </w:tcPr>
        <w:p w:rsidR="00801962" w:rsidRPr="00AD6DF9" w:rsidRDefault="00801962" w:rsidP="005673A3">
          <w:pPr>
            <w:pStyle w:val="a5"/>
            <w:pBdr>
              <w:bottom w:val="none" w:sz="0" w:space="0" w:color="auto"/>
            </w:pBdr>
            <w:rPr>
              <w:rFonts w:eastAsia="DengXian"/>
              <w:b/>
              <w:bCs/>
            </w:rPr>
          </w:pPr>
        </w:p>
      </w:tc>
      <w:tc>
        <w:tcPr>
          <w:tcW w:w="2273" w:type="dxa"/>
          <w:shd w:val="clear" w:color="auto" w:fill="auto"/>
          <w:vAlign w:val="center"/>
        </w:tcPr>
        <w:p w:rsidR="00801962" w:rsidRPr="00AD6DF9" w:rsidRDefault="00AD7FD3" w:rsidP="00AD7FD3">
          <w:pPr>
            <w:pStyle w:val="a5"/>
            <w:pBdr>
              <w:bottom w:val="none" w:sz="0" w:space="0" w:color="auto"/>
            </w:pBdr>
            <w:jc w:val="right"/>
            <w:rPr>
              <w:rFonts w:eastAsia="DengXian"/>
              <w:b/>
              <w:bCs/>
            </w:rPr>
          </w:pPr>
          <w:r>
            <w:rPr>
              <w:rFonts w:eastAsia="DengXian"/>
              <w:b/>
              <w:bCs/>
            </w:rPr>
            <w:drawing>
              <wp:inline distT="0" distB="0" distL="0" distR="0" wp14:anchorId="4A9609F9" wp14:editId="368863AE">
                <wp:extent cx="540000" cy="360000"/>
                <wp:effectExtent l="0" t="0" r="0" b="2540"/>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p>
      </w:tc>
    </w:tr>
  </w:tbl>
  <w:p w:rsidR="00E764AC" w:rsidRPr="00801962" w:rsidRDefault="00E764AC" w:rsidP="004A2A89">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DE2A7FF8"/>
    <w:lvl w:ilvl="0" w:tplc="CDB08E12">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2B3CE4AC"/>
    <w:lvl w:ilvl="0" w:tplc="DAE6658C">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1D10F3B"/>
    <w:multiLevelType w:val="hybridMultilevel"/>
    <w:tmpl w:val="8900614C"/>
    <w:lvl w:ilvl="0" w:tplc="509A773A">
      <w:start w:val="1"/>
      <w:numFmt w:val="decimal"/>
      <w:lvlRestart w:val="0"/>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51BD2"/>
    <w:multiLevelType w:val="hybridMultilevel"/>
    <w:tmpl w:val="F8BA8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6"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3E3990"/>
    <w:multiLevelType w:val="hybridMultilevel"/>
    <w:tmpl w:val="8744CA12"/>
    <w:lvl w:ilvl="0" w:tplc="547EF1B0">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8"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9"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75B53"/>
    <w:multiLevelType w:val="hybridMultilevel"/>
    <w:tmpl w:val="E2462BAE"/>
    <w:lvl w:ilvl="0" w:tplc="4B8ED62C">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1" w15:restartNumberingAfterBreak="0">
    <w:nsid w:val="706D5736"/>
    <w:multiLevelType w:val="hybridMultilevel"/>
    <w:tmpl w:val="16F4F7B2"/>
    <w:lvl w:ilvl="0" w:tplc="E8C44592">
      <w:start w:val="1"/>
      <w:numFmt w:val="decimal"/>
      <w:lvlRestart w:val="0"/>
      <w:lvlText w:val="%1."/>
      <w:lvlJc w:val="left"/>
      <w:pPr>
        <w:ind w:left="425" w:hanging="425"/>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259455">
    <w:abstractNumId w:val="5"/>
  </w:num>
  <w:num w:numId="2" w16cid:durableId="2029329644">
    <w:abstractNumId w:val="8"/>
  </w:num>
  <w:num w:numId="3" w16cid:durableId="890849138">
    <w:abstractNumId w:val="4"/>
  </w:num>
  <w:num w:numId="4" w16cid:durableId="293812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988089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0585308">
    <w:abstractNumId w:val="6"/>
  </w:num>
  <w:num w:numId="7" w16cid:durableId="1952206737">
    <w:abstractNumId w:val="10"/>
  </w:num>
  <w:num w:numId="8" w16cid:durableId="1570771270">
    <w:abstractNumId w:val="1"/>
  </w:num>
  <w:num w:numId="9" w16cid:durableId="1351024948">
    <w:abstractNumId w:val="10"/>
  </w:num>
  <w:num w:numId="10" w16cid:durableId="1028289866">
    <w:abstractNumId w:val="1"/>
  </w:num>
  <w:num w:numId="11" w16cid:durableId="1088117078">
    <w:abstractNumId w:val="10"/>
  </w:num>
  <w:num w:numId="12" w16cid:durableId="2131626263">
    <w:abstractNumId w:val="1"/>
  </w:num>
  <w:num w:numId="13" w16cid:durableId="1276904979">
    <w:abstractNumId w:val="11"/>
  </w:num>
  <w:num w:numId="14" w16cid:durableId="1450315868">
    <w:abstractNumId w:val="10"/>
  </w:num>
  <w:num w:numId="15" w16cid:durableId="814029660">
    <w:abstractNumId w:val="1"/>
  </w:num>
  <w:num w:numId="16" w16cid:durableId="773745104">
    <w:abstractNumId w:val="0"/>
  </w:num>
  <w:num w:numId="17" w16cid:durableId="983512563">
    <w:abstractNumId w:val="9"/>
  </w:num>
  <w:num w:numId="18" w16cid:durableId="5644426">
    <w:abstractNumId w:val="0"/>
  </w:num>
  <w:num w:numId="19" w16cid:durableId="373113924">
    <w:abstractNumId w:val="10"/>
  </w:num>
  <w:num w:numId="20" w16cid:durableId="945771767">
    <w:abstractNumId w:val="1"/>
  </w:num>
  <w:num w:numId="21" w16cid:durableId="1099253509">
    <w:abstractNumId w:val="0"/>
  </w:num>
  <w:num w:numId="22" w16cid:durableId="1870991960">
    <w:abstractNumId w:val="7"/>
  </w:num>
  <w:num w:numId="23" w16cid:durableId="300186813">
    <w:abstractNumId w:val="2"/>
  </w:num>
  <w:num w:numId="24" w16cid:durableId="1741900067">
    <w:abstractNumId w:val="10"/>
  </w:num>
  <w:num w:numId="25" w16cid:durableId="276719005">
    <w:abstractNumId w:val="1"/>
  </w:num>
  <w:num w:numId="26" w16cid:durableId="1025057875">
    <w:abstractNumId w:val="9"/>
  </w:num>
  <w:num w:numId="27" w16cid:durableId="1084378452">
    <w:abstractNumId w:val="0"/>
  </w:num>
  <w:num w:numId="28" w16cid:durableId="2126163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BEF"/>
    <w:rsid w:val="0001045D"/>
    <w:rsid w:val="000105F8"/>
    <w:rsid w:val="00047093"/>
    <w:rsid w:val="00060D36"/>
    <w:rsid w:val="00060FF0"/>
    <w:rsid w:val="000B05B1"/>
    <w:rsid w:val="000C631C"/>
    <w:rsid w:val="000E1C29"/>
    <w:rsid w:val="000F1D33"/>
    <w:rsid w:val="00126607"/>
    <w:rsid w:val="001373DD"/>
    <w:rsid w:val="00154674"/>
    <w:rsid w:val="00157FCA"/>
    <w:rsid w:val="00181F74"/>
    <w:rsid w:val="001842F7"/>
    <w:rsid w:val="00195FD6"/>
    <w:rsid w:val="00196A9A"/>
    <w:rsid w:val="001A2BD9"/>
    <w:rsid w:val="001C45F9"/>
    <w:rsid w:val="001C5532"/>
    <w:rsid w:val="001D0896"/>
    <w:rsid w:val="001D2588"/>
    <w:rsid w:val="001D6CA1"/>
    <w:rsid w:val="001D78D9"/>
    <w:rsid w:val="001E2AEB"/>
    <w:rsid w:val="001F61F9"/>
    <w:rsid w:val="00203CAC"/>
    <w:rsid w:val="00214D76"/>
    <w:rsid w:val="00222A3B"/>
    <w:rsid w:val="002239DD"/>
    <w:rsid w:val="002259E3"/>
    <w:rsid w:val="00231385"/>
    <w:rsid w:val="00247CB8"/>
    <w:rsid w:val="0026730B"/>
    <w:rsid w:val="00275964"/>
    <w:rsid w:val="00292DC0"/>
    <w:rsid w:val="00293811"/>
    <w:rsid w:val="002965CB"/>
    <w:rsid w:val="00297E2D"/>
    <w:rsid w:val="002A0561"/>
    <w:rsid w:val="002A7927"/>
    <w:rsid w:val="002E4DEC"/>
    <w:rsid w:val="002E5453"/>
    <w:rsid w:val="003004BE"/>
    <w:rsid w:val="00310D64"/>
    <w:rsid w:val="003111DF"/>
    <w:rsid w:val="00326141"/>
    <w:rsid w:val="00333F44"/>
    <w:rsid w:val="00346D6E"/>
    <w:rsid w:val="00350C6E"/>
    <w:rsid w:val="00357C7A"/>
    <w:rsid w:val="0036018F"/>
    <w:rsid w:val="003A71C4"/>
    <w:rsid w:val="003C087C"/>
    <w:rsid w:val="003D1571"/>
    <w:rsid w:val="003D20A9"/>
    <w:rsid w:val="003D27D5"/>
    <w:rsid w:val="003D6085"/>
    <w:rsid w:val="003D759E"/>
    <w:rsid w:val="003E6970"/>
    <w:rsid w:val="003E7AFF"/>
    <w:rsid w:val="00401D30"/>
    <w:rsid w:val="00411F96"/>
    <w:rsid w:val="00420479"/>
    <w:rsid w:val="004275EA"/>
    <w:rsid w:val="00436E8A"/>
    <w:rsid w:val="004407DB"/>
    <w:rsid w:val="00446732"/>
    <w:rsid w:val="00470B3A"/>
    <w:rsid w:val="004907C6"/>
    <w:rsid w:val="004A2A89"/>
    <w:rsid w:val="004B322B"/>
    <w:rsid w:val="004B5FAB"/>
    <w:rsid w:val="004D039F"/>
    <w:rsid w:val="004D3891"/>
    <w:rsid w:val="004D7CFB"/>
    <w:rsid w:val="004E5D14"/>
    <w:rsid w:val="004E7DCC"/>
    <w:rsid w:val="004F6762"/>
    <w:rsid w:val="00500779"/>
    <w:rsid w:val="00556318"/>
    <w:rsid w:val="005638E8"/>
    <w:rsid w:val="005673A3"/>
    <w:rsid w:val="0058070D"/>
    <w:rsid w:val="00590998"/>
    <w:rsid w:val="00595217"/>
    <w:rsid w:val="00595BEF"/>
    <w:rsid w:val="005B178E"/>
    <w:rsid w:val="005B3915"/>
    <w:rsid w:val="005B71A4"/>
    <w:rsid w:val="005C5119"/>
    <w:rsid w:val="005D34AD"/>
    <w:rsid w:val="005D7673"/>
    <w:rsid w:val="005E5181"/>
    <w:rsid w:val="006175C5"/>
    <w:rsid w:val="0066031A"/>
    <w:rsid w:val="006623CB"/>
    <w:rsid w:val="00684C33"/>
    <w:rsid w:val="006872AF"/>
    <w:rsid w:val="00692393"/>
    <w:rsid w:val="006A0D66"/>
    <w:rsid w:val="006B2BEA"/>
    <w:rsid w:val="006B57F5"/>
    <w:rsid w:val="006C3CC8"/>
    <w:rsid w:val="006D270A"/>
    <w:rsid w:val="00713446"/>
    <w:rsid w:val="007312B2"/>
    <w:rsid w:val="00732AB2"/>
    <w:rsid w:val="00740DB0"/>
    <w:rsid w:val="00740E3E"/>
    <w:rsid w:val="00754BF7"/>
    <w:rsid w:val="0077236F"/>
    <w:rsid w:val="007749C8"/>
    <w:rsid w:val="00797D87"/>
    <w:rsid w:val="007A11D8"/>
    <w:rsid w:val="007A4FCA"/>
    <w:rsid w:val="007D23C4"/>
    <w:rsid w:val="007D540E"/>
    <w:rsid w:val="007E5145"/>
    <w:rsid w:val="007E5F7A"/>
    <w:rsid w:val="007F38E3"/>
    <w:rsid w:val="0080065C"/>
    <w:rsid w:val="00801962"/>
    <w:rsid w:val="008070A9"/>
    <w:rsid w:val="00833422"/>
    <w:rsid w:val="00834D14"/>
    <w:rsid w:val="0083679D"/>
    <w:rsid w:val="00841BCC"/>
    <w:rsid w:val="008448E2"/>
    <w:rsid w:val="00845123"/>
    <w:rsid w:val="00851CA0"/>
    <w:rsid w:val="0086099E"/>
    <w:rsid w:val="008624D6"/>
    <w:rsid w:val="0087397A"/>
    <w:rsid w:val="008939B5"/>
    <w:rsid w:val="008B0C68"/>
    <w:rsid w:val="00905E20"/>
    <w:rsid w:val="009129BA"/>
    <w:rsid w:val="009201FD"/>
    <w:rsid w:val="0092769E"/>
    <w:rsid w:val="009311FC"/>
    <w:rsid w:val="0093185B"/>
    <w:rsid w:val="00945904"/>
    <w:rsid w:val="0094784F"/>
    <w:rsid w:val="0095000C"/>
    <w:rsid w:val="0095375E"/>
    <w:rsid w:val="00957E1E"/>
    <w:rsid w:val="00964A37"/>
    <w:rsid w:val="0096637D"/>
    <w:rsid w:val="00970E2B"/>
    <w:rsid w:val="00994F4F"/>
    <w:rsid w:val="009A1A79"/>
    <w:rsid w:val="009A29B1"/>
    <w:rsid w:val="009A5595"/>
    <w:rsid w:val="009A597D"/>
    <w:rsid w:val="009B2434"/>
    <w:rsid w:val="009C442E"/>
    <w:rsid w:val="009C7D35"/>
    <w:rsid w:val="009D0EAF"/>
    <w:rsid w:val="009F4882"/>
    <w:rsid w:val="009F6089"/>
    <w:rsid w:val="009F70E6"/>
    <w:rsid w:val="00A079E7"/>
    <w:rsid w:val="00A167AA"/>
    <w:rsid w:val="00A43B19"/>
    <w:rsid w:val="00A862A5"/>
    <w:rsid w:val="00A95D50"/>
    <w:rsid w:val="00AB1844"/>
    <w:rsid w:val="00AC3A0A"/>
    <w:rsid w:val="00AC5E69"/>
    <w:rsid w:val="00AD6DF9"/>
    <w:rsid w:val="00AD7FD3"/>
    <w:rsid w:val="00B2575F"/>
    <w:rsid w:val="00B325F7"/>
    <w:rsid w:val="00B37081"/>
    <w:rsid w:val="00B4323A"/>
    <w:rsid w:val="00B60065"/>
    <w:rsid w:val="00B7329D"/>
    <w:rsid w:val="00B752B7"/>
    <w:rsid w:val="00B813FD"/>
    <w:rsid w:val="00B82B14"/>
    <w:rsid w:val="00B978E9"/>
    <w:rsid w:val="00BB09E6"/>
    <w:rsid w:val="00BB27EF"/>
    <w:rsid w:val="00BB339C"/>
    <w:rsid w:val="00BB47F4"/>
    <w:rsid w:val="00BC6665"/>
    <w:rsid w:val="00BD3EAE"/>
    <w:rsid w:val="00BE06F8"/>
    <w:rsid w:val="00BF15B6"/>
    <w:rsid w:val="00C02237"/>
    <w:rsid w:val="00C06FE1"/>
    <w:rsid w:val="00C07671"/>
    <w:rsid w:val="00C24860"/>
    <w:rsid w:val="00C3192E"/>
    <w:rsid w:val="00C50A13"/>
    <w:rsid w:val="00C55A84"/>
    <w:rsid w:val="00C84C0A"/>
    <w:rsid w:val="00C97B84"/>
    <w:rsid w:val="00CC36D1"/>
    <w:rsid w:val="00CD7590"/>
    <w:rsid w:val="00CE0319"/>
    <w:rsid w:val="00D15588"/>
    <w:rsid w:val="00D2411B"/>
    <w:rsid w:val="00D55199"/>
    <w:rsid w:val="00D664F2"/>
    <w:rsid w:val="00D86EFA"/>
    <w:rsid w:val="00D87B50"/>
    <w:rsid w:val="00D95CDD"/>
    <w:rsid w:val="00DA255E"/>
    <w:rsid w:val="00DA4593"/>
    <w:rsid w:val="00DC443A"/>
    <w:rsid w:val="00DD43CE"/>
    <w:rsid w:val="00DD5BAF"/>
    <w:rsid w:val="00DE7BA7"/>
    <w:rsid w:val="00E12C88"/>
    <w:rsid w:val="00E17744"/>
    <w:rsid w:val="00E24349"/>
    <w:rsid w:val="00E2685A"/>
    <w:rsid w:val="00E44039"/>
    <w:rsid w:val="00E62385"/>
    <w:rsid w:val="00E645FF"/>
    <w:rsid w:val="00E764AC"/>
    <w:rsid w:val="00E964A6"/>
    <w:rsid w:val="00EA5224"/>
    <w:rsid w:val="00ED3155"/>
    <w:rsid w:val="00ED6CE8"/>
    <w:rsid w:val="00EE22D0"/>
    <w:rsid w:val="00F02932"/>
    <w:rsid w:val="00F07EFC"/>
    <w:rsid w:val="00F12CB1"/>
    <w:rsid w:val="00F223F7"/>
    <w:rsid w:val="00F22973"/>
    <w:rsid w:val="00F26DFB"/>
    <w:rsid w:val="00F374A5"/>
    <w:rsid w:val="00F374B8"/>
    <w:rsid w:val="00F42F4A"/>
    <w:rsid w:val="00F44669"/>
    <w:rsid w:val="00F54476"/>
    <w:rsid w:val="00F757E9"/>
    <w:rsid w:val="00F77071"/>
    <w:rsid w:val="00F9681F"/>
    <w:rsid w:val="00FA43BB"/>
    <w:rsid w:val="00FB223C"/>
    <w:rsid w:val="00FB6464"/>
    <w:rsid w:val="00FC1CE4"/>
    <w:rsid w:val="00FF12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E9411C"/>
  <w15:chartTrackingRefBased/>
  <w15:docId w15:val="{F4D86BFA-6BD0-2641-B75E-DE2D12F8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5BAF"/>
    <w:pPr>
      <w:spacing w:line="260" w:lineRule="atLeast"/>
      <w:jc w:val="both"/>
    </w:pPr>
    <w:rPr>
      <w:rFonts w:ascii="Palatino Linotype" w:eastAsiaTheme="minorEastAsia" w:hAnsi="Palatino Linotype"/>
      <w:noProof/>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DPI11articletype">
    <w:name w:val="MDPI_1.1_article_type"/>
    <w:next w:val="a"/>
    <w:qFormat/>
    <w:rsid w:val="00DD5BA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a"/>
    <w:qFormat/>
    <w:rsid w:val="00DD5BA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a"/>
    <w:qFormat/>
    <w:rsid w:val="00DD5BA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a"/>
    <w:next w:val="a"/>
    <w:qFormat/>
    <w:rsid w:val="00DD5BAF"/>
    <w:pPr>
      <w:adjustRightInd w:val="0"/>
      <w:snapToGrid w:val="0"/>
      <w:spacing w:line="240" w:lineRule="atLeast"/>
      <w:ind w:right="113"/>
      <w:jc w:val="left"/>
    </w:pPr>
    <w:rPr>
      <w:rFonts w:eastAsia="Times New Roman"/>
      <w:noProof w:val="0"/>
      <w:sz w:val="14"/>
      <w:lang w:eastAsia="de-DE" w:bidi="en-US"/>
    </w:rPr>
  </w:style>
  <w:style w:type="paragraph" w:customStyle="1" w:styleId="MDPI15academiceditor">
    <w:name w:val="MDPI_1.5_academic_editor"/>
    <w:qFormat/>
    <w:rsid w:val="00DD5BAF"/>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6affiliation">
    <w:name w:val="MDPI_1.6_affiliation"/>
    <w:qFormat/>
    <w:rsid w:val="00DD5BA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a"/>
    <w:qFormat/>
    <w:rsid w:val="00DD5BA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a"/>
    <w:qFormat/>
    <w:rsid w:val="00DD5BA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DD5BAF"/>
    <w:pPr>
      <w:pBdr>
        <w:bottom w:val="single" w:sz="4"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paragraph" w:styleId="a3">
    <w:name w:val="footer"/>
    <w:basedOn w:val="a"/>
    <w:link w:val="a4"/>
    <w:uiPriority w:val="99"/>
    <w:rsid w:val="00DD5BAF"/>
    <w:pPr>
      <w:tabs>
        <w:tab w:val="center" w:pos="4153"/>
        <w:tab w:val="right" w:pos="8306"/>
      </w:tabs>
      <w:snapToGrid w:val="0"/>
      <w:spacing w:line="240" w:lineRule="atLeast"/>
    </w:pPr>
    <w:rPr>
      <w:szCs w:val="18"/>
    </w:rPr>
  </w:style>
  <w:style w:type="character" w:customStyle="1" w:styleId="a4">
    <w:name w:val="Нижний колонтитул Знак"/>
    <w:basedOn w:val="a0"/>
    <w:link w:val="a3"/>
    <w:uiPriority w:val="99"/>
    <w:rsid w:val="00DD5BAF"/>
    <w:rPr>
      <w:rFonts w:ascii="Palatino Linotype" w:eastAsiaTheme="minorEastAsia" w:hAnsi="Palatino Linotype"/>
      <w:noProof/>
      <w:color w:val="000000"/>
      <w:szCs w:val="18"/>
    </w:rPr>
  </w:style>
  <w:style w:type="paragraph" w:styleId="a5">
    <w:name w:val="header"/>
    <w:basedOn w:val="a"/>
    <w:link w:val="a6"/>
    <w:uiPriority w:val="99"/>
    <w:rsid w:val="00DD5BAF"/>
    <w:pPr>
      <w:pBdr>
        <w:bottom w:val="single" w:sz="6" w:space="1" w:color="auto"/>
      </w:pBdr>
      <w:tabs>
        <w:tab w:val="center" w:pos="4153"/>
        <w:tab w:val="right" w:pos="8306"/>
      </w:tabs>
      <w:snapToGrid w:val="0"/>
      <w:spacing w:line="240" w:lineRule="atLeast"/>
      <w:jc w:val="center"/>
    </w:pPr>
    <w:rPr>
      <w:szCs w:val="18"/>
    </w:rPr>
  </w:style>
  <w:style w:type="character" w:customStyle="1" w:styleId="a6">
    <w:name w:val="Верхний колонтитул Знак"/>
    <w:basedOn w:val="a0"/>
    <w:link w:val="a5"/>
    <w:uiPriority w:val="99"/>
    <w:rsid w:val="00DD5BAF"/>
    <w:rPr>
      <w:rFonts w:ascii="Palatino Linotype" w:eastAsiaTheme="minorEastAsia" w:hAnsi="Palatino Linotype"/>
      <w:noProof/>
      <w:color w:val="000000"/>
      <w:szCs w:val="18"/>
    </w:rPr>
  </w:style>
  <w:style w:type="paragraph" w:customStyle="1" w:styleId="MDPIheaderjournallogo">
    <w:name w:val="MDPI_header_journal_logo"/>
    <w:qFormat/>
    <w:rsid w:val="00DD5BA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DD5BAF"/>
    <w:pPr>
      <w:ind w:firstLine="0"/>
    </w:pPr>
  </w:style>
  <w:style w:type="paragraph" w:customStyle="1" w:styleId="MDPI31text">
    <w:name w:val="MDPI_3.1_text"/>
    <w:qFormat/>
    <w:rsid w:val="00DD5BA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DD5BA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DD5BA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DD5BA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D7FD3"/>
    <w:pPr>
      <w:numPr>
        <w:numId w:val="2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D7FD3"/>
    <w:pPr>
      <w:numPr>
        <w:numId w:val="25"/>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DD5BA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DD5BA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DD5BAF"/>
    <w:pPr>
      <w:adjustRightInd w:val="0"/>
      <w:snapToGrid w:val="0"/>
      <w:spacing w:before="240" w:after="120" w:line="228" w:lineRule="auto"/>
      <w:ind w:left="2608"/>
    </w:pPr>
    <w:rPr>
      <w:rFonts w:ascii="Palatino Linotype" w:eastAsia="Times New Roman" w:hAnsi="Palatino Linotype" w:cstheme="minorBidi"/>
      <w:color w:val="000000"/>
      <w:sz w:val="18"/>
      <w:szCs w:val="22"/>
      <w:lang w:eastAsia="de-DE" w:bidi="en-US"/>
    </w:rPr>
  </w:style>
  <w:style w:type="paragraph" w:customStyle="1" w:styleId="MDPI42tablebody">
    <w:name w:val="MDPI_4.2_table_body"/>
    <w:qFormat/>
    <w:rsid w:val="00C24860"/>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DD5BAF"/>
    <w:pPr>
      <w:adjustRightInd w:val="0"/>
      <w:snapToGrid w:val="0"/>
      <w:spacing w:after="240"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DD5BAF"/>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DD5BA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DD5BA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DD5BA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DD5BA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DD5BA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2259E3"/>
    <w:pPr>
      <w:numPr>
        <w:numId w:val="27"/>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a7">
    <w:name w:val="Balloon Text"/>
    <w:basedOn w:val="a"/>
    <w:link w:val="a8"/>
    <w:uiPriority w:val="99"/>
    <w:rsid w:val="00DD5BAF"/>
    <w:rPr>
      <w:rFonts w:cs="Tahoma"/>
      <w:szCs w:val="18"/>
    </w:rPr>
  </w:style>
  <w:style w:type="character" w:customStyle="1" w:styleId="a8">
    <w:name w:val="Текст выноски Знак"/>
    <w:basedOn w:val="a0"/>
    <w:link w:val="a7"/>
    <w:uiPriority w:val="99"/>
    <w:rsid w:val="00DD5BAF"/>
    <w:rPr>
      <w:rFonts w:ascii="Palatino Linotype" w:eastAsiaTheme="minorEastAsia" w:hAnsi="Palatino Linotype" w:cs="Tahoma"/>
      <w:noProof/>
      <w:color w:val="000000"/>
      <w:szCs w:val="18"/>
    </w:rPr>
  </w:style>
  <w:style w:type="table" w:customStyle="1" w:styleId="MDPI41threelinetable">
    <w:name w:val="MDPI_4.1_three_line_table"/>
    <w:basedOn w:val="a1"/>
    <w:uiPriority w:val="99"/>
    <w:rsid w:val="00DD5BAF"/>
    <w:pPr>
      <w:adjustRightInd w:val="0"/>
      <w:snapToGrid w:val="0"/>
      <w:jc w:val="center"/>
    </w:pPr>
    <w:rPr>
      <w:rFonts w:ascii="Palatino Linotype" w:eastAsiaTheme="minorEastAsia"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a9">
    <w:name w:val="Hyperlink"/>
    <w:uiPriority w:val="99"/>
    <w:rsid w:val="00DD5BAF"/>
    <w:rPr>
      <w:color w:val="0000FF"/>
      <w:u w:val="single"/>
    </w:rPr>
  </w:style>
  <w:style w:type="character" w:styleId="aa">
    <w:name w:val="Unresolved Mention"/>
    <w:uiPriority w:val="99"/>
    <w:semiHidden/>
    <w:unhideWhenUsed/>
    <w:rsid w:val="002A0561"/>
    <w:rPr>
      <w:color w:val="605E5C"/>
      <w:shd w:val="clear" w:color="auto" w:fill="E1DFDD"/>
    </w:rPr>
  </w:style>
  <w:style w:type="table" w:styleId="ab">
    <w:name w:val="Table Grid"/>
    <w:basedOn w:val="a1"/>
    <w:uiPriority w:val="59"/>
    <w:rsid w:val="00DD5BAF"/>
    <w:pPr>
      <w:spacing w:line="260" w:lineRule="atLeast"/>
      <w:jc w:val="both"/>
    </w:pPr>
    <w:rPr>
      <w:rFonts w:ascii="Palatino Linotype" w:eastAsiaTheme="minorEastAsia"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Plain Table 4"/>
    <w:basedOn w:val="a1"/>
    <w:uiPriority w:val="44"/>
    <w:rsid w:val="00EE22D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DD5BA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DD5BA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DD5BA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DD5BAF"/>
    <w:pPr>
      <w:adjustRightInd w:val="0"/>
      <w:snapToGrid w:val="0"/>
      <w:spacing w:line="240" w:lineRule="atLeast"/>
      <w:ind w:right="113"/>
    </w:pPr>
    <w:rPr>
      <w:rFonts w:ascii="Palatino Linotype" w:eastAsiaTheme="minorEastAsia" w:hAnsi="Palatino Linotype" w:cstheme="minorBidi"/>
      <w:sz w:val="14"/>
      <w:szCs w:val="22"/>
    </w:rPr>
  </w:style>
  <w:style w:type="paragraph" w:customStyle="1" w:styleId="MDPI62BackMatter">
    <w:name w:val="MDPI_6.2_BackMatter"/>
    <w:qFormat/>
    <w:rsid w:val="00DD5BA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DD5BAF"/>
    <w:pPr>
      <w:adjustRightInd w:val="0"/>
      <w:snapToGrid w:val="0"/>
      <w:spacing w:before="240" w:line="228" w:lineRule="auto"/>
      <w:jc w:val="both"/>
    </w:pPr>
    <w:rPr>
      <w:rFonts w:ascii="Palatino Linotype" w:hAnsi="Palatino Linotype"/>
      <w:snapToGrid w:val="0"/>
      <w:color w:val="000000" w:themeColor="text1"/>
      <w:sz w:val="18"/>
      <w:lang w:eastAsia="en-US" w:bidi="en-US"/>
    </w:rPr>
  </w:style>
  <w:style w:type="paragraph" w:customStyle="1" w:styleId="MDPI19classification">
    <w:name w:val="MDPI_1.9_classification"/>
    <w:qFormat/>
    <w:rsid w:val="00DD5BA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DD5BAF"/>
    <w:pPr>
      <w:adjustRightInd w:val="0"/>
      <w:snapToGrid w:val="0"/>
      <w:spacing w:before="240" w:after="120" w:line="260" w:lineRule="atLeast"/>
      <w:jc w:val="center"/>
    </w:pPr>
    <w:rPr>
      <w:rFonts w:ascii="Palatino Linotype" w:eastAsiaTheme="minorEastAsia" w:hAnsi="Palatino Linotype" w:cstheme="minorBidi"/>
      <w:noProof/>
      <w:color w:val="000000"/>
      <w:sz w:val="18"/>
      <w:szCs w:val="22"/>
      <w:lang w:bidi="en-US"/>
    </w:rPr>
  </w:style>
  <w:style w:type="paragraph" w:customStyle="1" w:styleId="MDPI511onefigurecaption">
    <w:name w:val="MDPI_5.1.1_one_figure_caption"/>
    <w:qFormat/>
    <w:rsid w:val="00DD5BAF"/>
    <w:pPr>
      <w:adjustRightInd w:val="0"/>
      <w:snapToGrid w:val="0"/>
      <w:spacing w:before="240" w:after="120" w:line="260" w:lineRule="atLeast"/>
      <w:jc w:val="center"/>
    </w:pPr>
    <w:rPr>
      <w:rFonts w:ascii="Palatino Linotype" w:eastAsiaTheme="minorEastAsia" w:hAnsi="Palatino Linotype"/>
      <w:noProof/>
      <w:color w:val="000000"/>
      <w:sz w:val="18"/>
      <w:lang w:bidi="en-US"/>
    </w:rPr>
  </w:style>
  <w:style w:type="paragraph" w:customStyle="1" w:styleId="MDPI72Copyright">
    <w:name w:val="MDPI_7.2_Copyright"/>
    <w:qFormat/>
    <w:rsid w:val="00B37081"/>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DD5BA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DD5BA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DD5BA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DD5BA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DD5BA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DD5BA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a1"/>
    <w:uiPriority w:val="99"/>
    <w:rsid w:val="00DD5BAF"/>
    <w:rPr>
      <w:rFonts w:ascii="Palatino Linotype" w:hAnsi="Palatino Linotype"/>
      <w:color w:val="000000" w:themeColor="text1"/>
      <w:lang w:val="en-CA" w:eastAsia="en-US"/>
    </w:rPr>
    <w:tblPr>
      <w:tblCellMar>
        <w:left w:w="0" w:type="dxa"/>
        <w:right w:w="0" w:type="dxa"/>
      </w:tblCellMar>
    </w:tblPr>
  </w:style>
  <w:style w:type="paragraph" w:customStyle="1" w:styleId="MDPItext">
    <w:name w:val="MDPI_text"/>
    <w:qFormat/>
    <w:rsid w:val="00DD5BA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DD5BA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basedOn w:val="a0"/>
    <w:rsid w:val="00DD5BAF"/>
  </w:style>
  <w:style w:type="paragraph" w:styleId="ac">
    <w:name w:val="Bibliography"/>
    <w:basedOn w:val="a"/>
    <w:next w:val="a"/>
    <w:uiPriority w:val="37"/>
    <w:semiHidden/>
    <w:unhideWhenUsed/>
    <w:rsid w:val="00DD5BAF"/>
  </w:style>
  <w:style w:type="paragraph" w:styleId="ad">
    <w:name w:val="Body Text"/>
    <w:link w:val="ae"/>
    <w:rsid w:val="00DD5BAF"/>
    <w:pPr>
      <w:spacing w:after="120" w:line="340" w:lineRule="atLeast"/>
      <w:jc w:val="both"/>
    </w:pPr>
    <w:rPr>
      <w:rFonts w:ascii="Palatino Linotype" w:eastAsiaTheme="minorEastAsia" w:hAnsi="Palatino Linotype"/>
      <w:color w:val="000000"/>
      <w:sz w:val="24"/>
      <w:lang w:eastAsia="de-DE"/>
    </w:rPr>
  </w:style>
  <w:style w:type="character" w:customStyle="1" w:styleId="ae">
    <w:name w:val="Основной текст Знак"/>
    <w:basedOn w:val="a0"/>
    <w:link w:val="ad"/>
    <w:rsid w:val="00DD5BAF"/>
    <w:rPr>
      <w:rFonts w:ascii="Palatino Linotype" w:eastAsiaTheme="minorEastAsia" w:hAnsi="Palatino Linotype"/>
      <w:color w:val="000000"/>
      <w:sz w:val="24"/>
      <w:lang w:eastAsia="de-DE"/>
    </w:rPr>
  </w:style>
  <w:style w:type="character" w:styleId="af">
    <w:name w:val="annotation reference"/>
    <w:basedOn w:val="a0"/>
    <w:rsid w:val="00DD5BAF"/>
    <w:rPr>
      <w:sz w:val="21"/>
      <w:szCs w:val="21"/>
    </w:rPr>
  </w:style>
  <w:style w:type="paragraph" w:styleId="af0">
    <w:name w:val="annotation text"/>
    <w:basedOn w:val="a"/>
    <w:link w:val="af1"/>
    <w:rsid w:val="00DD5BAF"/>
  </w:style>
  <w:style w:type="character" w:customStyle="1" w:styleId="af1">
    <w:name w:val="Текст примечания Знак"/>
    <w:basedOn w:val="a0"/>
    <w:link w:val="af0"/>
    <w:rsid w:val="00DD5BAF"/>
    <w:rPr>
      <w:rFonts w:ascii="Palatino Linotype" w:eastAsiaTheme="minorEastAsia" w:hAnsi="Palatino Linotype"/>
      <w:noProof/>
      <w:color w:val="000000"/>
    </w:rPr>
  </w:style>
  <w:style w:type="paragraph" w:styleId="af2">
    <w:name w:val="annotation subject"/>
    <w:basedOn w:val="af0"/>
    <w:next w:val="af0"/>
    <w:link w:val="af3"/>
    <w:rsid w:val="00DD5BAF"/>
    <w:rPr>
      <w:b/>
      <w:bCs/>
    </w:rPr>
  </w:style>
  <w:style w:type="character" w:customStyle="1" w:styleId="af3">
    <w:name w:val="Тема примечания Знак"/>
    <w:basedOn w:val="af1"/>
    <w:link w:val="af2"/>
    <w:rsid w:val="00DD5BAF"/>
    <w:rPr>
      <w:rFonts w:ascii="Palatino Linotype" w:eastAsiaTheme="minorEastAsia" w:hAnsi="Palatino Linotype"/>
      <w:b/>
      <w:bCs/>
      <w:noProof/>
      <w:color w:val="000000"/>
    </w:rPr>
  </w:style>
  <w:style w:type="character" w:styleId="af4">
    <w:name w:val="endnote reference"/>
    <w:basedOn w:val="a0"/>
    <w:rsid w:val="00DD5BAF"/>
    <w:rPr>
      <w:vertAlign w:val="superscript"/>
    </w:rPr>
  </w:style>
  <w:style w:type="paragraph" w:styleId="af5">
    <w:name w:val="endnote text"/>
    <w:basedOn w:val="a"/>
    <w:link w:val="af6"/>
    <w:semiHidden/>
    <w:unhideWhenUsed/>
    <w:rsid w:val="00DD5BAF"/>
    <w:pPr>
      <w:spacing w:line="240" w:lineRule="auto"/>
    </w:pPr>
  </w:style>
  <w:style w:type="character" w:customStyle="1" w:styleId="af6">
    <w:name w:val="Текст концевой сноски Знак"/>
    <w:basedOn w:val="a0"/>
    <w:link w:val="af5"/>
    <w:semiHidden/>
    <w:rsid w:val="00DD5BAF"/>
    <w:rPr>
      <w:rFonts w:ascii="Palatino Linotype" w:eastAsiaTheme="minorEastAsia" w:hAnsi="Palatino Linotype"/>
      <w:noProof/>
      <w:color w:val="000000"/>
    </w:rPr>
  </w:style>
  <w:style w:type="character" w:styleId="af7">
    <w:name w:val="FollowedHyperlink"/>
    <w:basedOn w:val="a0"/>
    <w:rsid w:val="00DD5BAF"/>
    <w:rPr>
      <w:color w:val="954F72" w:themeColor="followedHyperlink"/>
      <w:u w:val="single"/>
    </w:rPr>
  </w:style>
  <w:style w:type="paragraph" w:styleId="af8">
    <w:name w:val="footnote text"/>
    <w:basedOn w:val="a"/>
    <w:link w:val="af9"/>
    <w:semiHidden/>
    <w:unhideWhenUsed/>
    <w:rsid w:val="00DD5BAF"/>
    <w:pPr>
      <w:spacing w:line="240" w:lineRule="auto"/>
    </w:pPr>
  </w:style>
  <w:style w:type="character" w:customStyle="1" w:styleId="af9">
    <w:name w:val="Текст сноски Знак"/>
    <w:basedOn w:val="a0"/>
    <w:link w:val="af8"/>
    <w:semiHidden/>
    <w:rsid w:val="00DD5BAF"/>
    <w:rPr>
      <w:rFonts w:ascii="Palatino Linotype" w:eastAsiaTheme="minorEastAsia" w:hAnsi="Palatino Linotype"/>
      <w:noProof/>
      <w:color w:val="000000"/>
    </w:rPr>
  </w:style>
  <w:style w:type="character" w:styleId="afa">
    <w:name w:val="line number"/>
    <w:uiPriority w:val="99"/>
    <w:rsid w:val="00DD5BAF"/>
    <w:rPr>
      <w:rFonts w:ascii="Palatino Linotype" w:hAnsi="Palatino Linotype"/>
      <w:sz w:val="16"/>
    </w:rPr>
  </w:style>
  <w:style w:type="paragraph" w:styleId="afb">
    <w:name w:val="Normal (Web)"/>
    <w:basedOn w:val="a"/>
    <w:uiPriority w:val="99"/>
    <w:rsid w:val="00DD5BAF"/>
    <w:rPr>
      <w:szCs w:val="24"/>
    </w:rPr>
  </w:style>
  <w:style w:type="paragraph" w:customStyle="1" w:styleId="MsoFootnoteText0">
    <w:name w:val="MsoFootnoteText"/>
    <w:basedOn w:val="afb"/>
    <w:qFormat/>
    <w:rsid w:val="00DD5BAF"/>
    <w:rPr>
      <w:rFonts w:ascii="Times New Roman" w:hAnsi="Times New Roman"/>
    </w:rPr>
  </w:style>
  <w:style w:type="character" w:styleId="afc">
    <w:name w:val="page number"/>
    <w:basedOn w:val="a0"/>
    <w:rsid w:val="00DD5BAF"/>
  </w:style>
  <w:style w:type="character" w:styleId="afd">
    <w:name w:val="Placeholder Text"/>
    <w:basedOn w:val="a0"/>
    <w:uiPriority w:val="99"/>
    <w:semiHidden/>
    <w:rsid w:val="00DD5BAF"/>
    <w:rPr>
      <w:color w:val="808080"/>
    </w:rPr>
  </w:style>
  <w:style w:type="paragraph" w:customStyle="1" w:styleId="MDPI71FootNotes">
    <w:name w:val="MDPI_7.1_FootNotes"/>
    <w:qFormat/>
    <w:rsid w:val="00DD5BAF"/>
    <w:pPr>
      <w:numPr>
        <w:numId w:val="26"/>
      </w:numPr>
      <w:adjustRightInd w:val="0"/>
      <w:snapToGrid w:val="0"/>
      <w:spacing w:line="228" w:lineRule="auto"/>
      <w:jc w:val="both"/>
    </w:pPr>
    <w:rPr>
      <w:rFonts w:ascii="Palatino Linotype" w:eastAsiaTheme="minorEastAsia" w:hAnsi="Palatino Linotype"/>
      <w:noProof/>
      <w:color w:val="000000"/>
      <w:sz w:val="18"/>
    </w:rPr>
  </w:style>
  <w:style w:type="paragraph" w:styleId="afe">
    <w:name w:val="List Paragraph"/>
    <w:aliases w:val="ПАРАГРАФ,Абзац списка3,Абзац списка1,Абзац списка2,Цветной список - Акцент 11,СПИСОК"/>
    <w:basedOn w:val="a"/>
    <w:link w:val="aff"/>
    <w:uiPriority w:val="34"/>
    <w:qFormat/>
    <w:rsid w:val="002239DD"/>
    <w:pPr>
      <w:ind w:left="720"/>
      <w:contextualSpacing/>
    </w:pPr>
  </w:style>
  <w:style w:type="character" w:customStyle="1" w:styleId="aff">
    <w:name w:val="Абзац списка Знак"/>
    <w:aliases w:val="ПАРАГРАФ Знак,Абзац списка3 Знак,Абзац списка1 Знак,Абзац списка2 Знак,Цветной список - Акцент 11 Знак,СПИСОК Знак"/>
    <w:link w:val="afe"/>
    <w:uiPriority w:val="34"/>
    <w:locked/>
    <w:rsid w:val="002239DD"/>
    <w:rPr>
      <w:rFonts w:ascii="Palatino Linotype" w:eastAsiaTheme="minorEastAsia" w:hAnsi="Palatino Linotype"/>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8.png"/><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image" Target="media/image21.png"/><Relationship Id="rId47" Type="http://schemas.openxmlformats.org/officeDocument/2006/relationships/image" Target="media/image26.png"/><Relationship Id="rId50" Type="http://schemas.openxmlformats.org/officeDocument/2006/relationships/header" Target="header1.xml"/><Relationship Id="rId55"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png"/><Relationship Id="rId40" Type="http://schemas.openxmlformats.org/officeDocument/2006/relationships/image" Target="media/image19.png"/><Relationship Id="rId45" Type="http://schemas.openxmlformats.org/officeDocument/2006/relationships/image" Target="media/image24.png"/><Relationship Id="rId53"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image" Target="media/image23.png"/><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22.png"/><Relationship Id="rId48" Type="http://schemas.openxmlformats.org/officeDocument/2006/relationships/image" Target="media/image27.png"/><Relationship Id="rId56" Type="http://schemas.openxmlformats.org/officeDocument/2006/relationships/theme" Target="theme/theme1.xml"/><Relationship Id="rId8" Type="http://schemas.openxmlformats.org/officeDocument/2006/relationships/hyperlink" Target="mailto:gizzatar@gmail.com" TargetMode="External"/><Relationship Id="rId51"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image" Target="media/image17.png"/><Relationship Id="rId46" Type="http://schemas.openxmlformats.org/officeDocument/2006/relationships/image" Target="media/image25.png"/><Relationship Id="rId20" Type="http://schemas.openxmlformats.org/officeDocument/2006/relationships/oleObject" Target="embeddings/oleObject6.bin"/><Relationship Id="rId41" Type="http://schemas.openxmlformats.org/officeDocument/2006/relationships/image" Target="media/image20.png"/><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8.png"/></Relationships>
</file>

<file path=word/_rels/header3.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29.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zamatgizzatullin/Downloads/engpro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engproc-template.dot</Template>
  <TotalTime>2</TotalTime>
  <Pages>9</Pages>
  <Words>3357</Words>
  <Characters>19136</Characters>
  <Application>Microsoft Office Word</Application>
  <DocSecurity>0</DocSecurity>
  <Lines>159</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22449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Лилиана Гиззатуллина</dc:creator>
  <cp:keywords/>
  <dc:description/>
  <cp:lastModifiedBy>Гиззатуллин Азамат Русланович</cp:lastModifiedBy>
  <cp:revision>5</cp:revision>
  <dcterms:created xsi:type="dcterms:W3CDTF">2023-06-05T18:27:00Z</dcterms:created>
  <dcterms:modified xsi:type="dcterms:W3CDTF">2023-06-11T16:01:00Z</dcterms:modified>
</cp:coreProperties>
</file>