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A6B" w:rsidRPr="00B15A6B" w:rsidRDefault="00B15A6B" w:rsidP="00B15A6B">
      <w:pPr>
        <w:pStyle w:val="Author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 ЭЛЕКТРОФИЗИЧЕСКИХ ХАРАКТЕРИСТИК ЭПИТАКСИАЛЬНЫХ СЛОЕВ ТВЕРДЫХ РАСТВОРОВ ТИПА </w:t>
      </w:r>
      <w:r>
        <w:rPr>
          <w:b/>
          <w:sz w:val="28"/>
          <w:szCs w:val="28"/>
          <w:lang w:val="en-US"/>
        </w:rPr>
        <w:t>N</w:t>
      </w:r>
      <w:r w:rsidRPr="00B15A6B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P</w:t>
      </w:r>
      <w:r w:rsidRPr="00B15A6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vertAlign w:val="subscript"/>
          <w:lang w:val="en-US"/>
        </w:rPr>
        <w:t>X</w:t>
      </w:r>
      <w:r>
        <w:rPr>
          <w:b/>
          <w:sz w:val="28"/>
          <w:szCs w:val="28"/>
          <w:lang w:val="en-US"/>
        </w:rPr>
        <w:t>GA</w:t>
      </w:r>
      <w:r w:rsidRPr="00B15A6B">
        <w:rPr>
          <w:b/>
          <w:sz w:val="28"/>
          <w:szCs w:val="28"/>
          <w:vertAlign w:val="subscript"/>
        </w:rPr>
        <w:t>1-</w:t>
      </w:r>
      <w:r>
        <w:rPr>
          <w:b/>
          <w:sz w:val="28"/>
          <w:szCs w:val="28"/>
          <w:vertAlign w:val="subscript"/>
          <w:lang w:val="en-US"/>
        </w:rPr>
        <w:t>X</w:t>
      </w:r>
      <w:r>
        <w:rPr>
          <w:b/>
          <w:sz w:val="28"/>
          <w:szCs w:val="28"/>
          <w:lang w:val="en-US"/>
        </w:rPr>
        <w:t>AS</w:t>
      </w:r>
      <w:r w:rsidRPr="00B15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ПРИБОРНЫХ СТРУКТУР БОЛЬШОЙ ПЛОЩАДИ</w:t>
      </w:r>
    </w:p>
    <w:p w:rsidR="00B15A6B" w:rsidRDefault="00B15A6B">
      <w:pPr>
        <w:pStyle w:val="Authors"/>
      </w:pPr>
    </w:p>
    <w:p w:rsidR="00B15A6B" w:rsidRDefault="00B15A6B" w:rsidP="00B15A6B">
      <w:pPr>
        <w:pStyle w:val="Authors"/>
        <w:spacing w:after="0"/>
        <w:rPr>
          <w:vertAlign w:val="superscript"/>
        </w:rPr>
      </w:pPr>
      <w:r>
        <w:t>Николай Дмитриевич Платонов</w:t>
      </w:r>
      <w:r>
        <w:rPr>
          <w:vertAlign w:val="superscript"/>
        </w:rPr>
        <w:t>1</w:t>
      </w:r>
      <w:r>
        <w:t>, Андрей Александрович Лебедев</w:t>
      </w:r>
      <w:r>
        <w:rPr>
          <w:vertAlign w:val="superscript"/>
        </w:rPr>
        <w:t>2,3</w:t>
      </w:r>
      <w:r>
        <w:t>, Вадим Леонидович Матухин</w:t>
      </w:r>
      <w:r>
        <w:rPr>
          <w:vertAlign w:val="superscript"/>
        </w:rPr>
        <w:t>1</w:t>
      </w:r>
      <w:r>
        <w:t xml:space="preserve">, </w:t>
      </w:r>
      <w:r w:rsidR="009507B6">
        <w:t>Иванов Александр Федорович</w:t>
      </w:r>
      <w:r w:rsidR="009507B6">
        <w:rPr>
          <w:vertAlign w:val="superscript"/>
        </w:rPr>
        <w:t>1</w:t>
      </w:r>
      <w:r w:rsidR="009507B6">
        <w:t xml:space="preserve">, </w:t>
      </w:r>
      <w:r>
        <w:t>Евгений Иванович Теруков</w:t>
      </w:r>
      <w:r>
        <w:rPr>
          <w:vertAlign w:val="superscript"/>
        </w:rPr>
        <w:t>4,5</w:t>
      </w:r>
    </w:p>
    <w:p w:rsidR="008148B6" w:rsidRPr="008148B6" w:rsidRDefault="008148B6" w:rsidP="00B15A6B">
      <w:pPr>
        <w:pStyle w:val="Authors"/>
        <w:spacing w:after="0"/>
      </w:pPr>
      <w:r w:rsidRPr="008148B6">
        <w:t xml:space="preserve">Науч. </w:t>
      </w:r>
      <w:r>
        <w:t>р</w:t>
      </w:r>
      <w:r w:rsidRPr="008148B6">
        <w:t>ук</w:t>
      </w:r>
      <w:r>
        <w:t xml:space="preserve">. д. ф.-м. наук, профессор Вадим Леонидович </w:t>
      </w:r>
      <w:proofErr w:type="spellStart"/>
      <w:r>
        <w:t>Матухин</w:t>
      </w:r>
      <w:proofErr w:type="spellEnd"/>
      <w:r w:rsidRPr="008148B6">
        <w:t xml:space="preserve"> (</w:t>
      </w:r>
      <w:proofErr w:type="spellStart"/>
      <w:r>
        <w:rPr>
          <w:lang w:val="en-US"/>
        </w:rPr>
        <w:t>matukhinvl</w:t>
      </w:r>
      <w:proofErr w:type="spellEnd"/>
      <w:r w:rsidRPr="008148B6">
        <w:t>@</w:t>
      </w:r>
      <w:r>
        <w:rPr>
          <w:lang w:val="en-US"/>
        </w:rPr>
        <w:t>mail</w:t>
      </w:r>
      <w:r w:rsidRPr="008148B6">
        <w:t>.</w:t>
      </w:r>
      <w:proofErr w:type="spellStart"/>
      <w:r>
        <w:rPr>
          <w:lang w:val="en-US"/>
        </w:rPr>
        <w:t>ru</w:t>
      </w:r>
      <w:proofErr w:type="spellEnd"/>
      <w:r w:rsidRPr="008148B6">
        <w:t>)</w:t>
      </w:r>
    </w:p>
    <w:p w:rsidR="00B15A6B" w:rsidRPr="00B15A6B" w:rsidRDefault="00B15A6B" w:rsidP="00B15A6B">
      <w:pPr>
        <w:pStyle w:val="Authors"/>
        <w:spacing w:after="0"/>
        <w:rPr>
          <w:vertAlign w:val="superscript"/>
        </w:rPr>
      </w:pPr>
    </w:p>
    <w:p w:rsidR="0030710D" w:rsidRPr="008148B6" w:rsidRDefault="0030710D" w:rsidP="007912CB">
      <w:pPr>
        <w:ind w:left="709"/>
        <w:rPr>
          <w:color w:val="000000"/>
          <w:lang w:val="ru-RU"/>
        </w:rPr>
      </w:pPr>
      <w:r w:rsidRPr="008148B6">
        <w:rPr>
          <w:b/>
          <w:vertAlign w:val="superscript"/>
          <w:lang w:val="ru-RU"/>
        </w:rPr>
        <w:t>1</w:t>
      </w:r>
      <w:r w:rsidRPr="008148B6">
        <w:rPr>
          <w:color w:val="000000"/>
          <w:vertAlign w:val="superscript"/>
          <w:lang w:val="ru-RU"/>
        </w:rPr>
        <w:t xml:space="preserve"> </w:t>
      </w:r>
      <w:r w:rsidR="00B15A6B" w:rsidRPr="008148B6">
        <w:rPr>
          <w:color w:val="000000"/>
          <w:lang w:val="ru-RU"/>
        </w:rPr>
        <w:t>ФГБОУ ВО «КГЭУ», г. Казань, Республика Татарстан</w:t>
      </w:r>
    </w:p>
    <w:p w:rsidR="0030710D" w:rsidRPr="008148B6" w:rsidRDefault="0030710D" w:rsidP="007912CB">
      <w:pPr>
        <w:ind w:left="709"/>
        <w:rPr>
          <w:color w:val="000000"/>
          <w:lang w:val="ru-RU"/>
        </w:rPr>
      </w:pPr>
      <w:r w:rsidRPr="008148B6">
        <w:rPr>
          <w:color w:val="000000"/>
          <w:vertAlign w:val="superscript"/>
          <w:lang w:val="ru-RU"/>
        </w:rPr>
        <w:t>2</w:t>
      </w:r>
      <w:r w:rsidRPr="008148B6">
        <w:rPr>
          <w:color w:val="000000"/>
          <w:lang w:val="ru-RU"/>
        </w:rPr>
        <w:t xml:space="preserve">АО «НПП «Квант», </w:t>
      </w:r>
      <w:r w:rsidR="00B15A6B" w:rsidRPr="008148B6">
        <w:rPr>
          <w:color w:val="000000"/>
          <w:lang w:val="ru-RU"/>
        </w:rPr>
        <w:t>г.</w:t>
      </w:r>
      <w:r w:rsidRPr="008148B6">
        <w:rPr>
          <w:color w:val="000000"/>
          <w:lang w:val="ru-RU"/>
        </w:rPr>
        <w:t xml:space="preserve"> Москва, Россия</w:t>
      </w:r>
    </w:p>
    <w:p w:rsidR="0030710D" w:rsidRPr="008148B6" w:rsidRDefault="0030710D" w:rsidP="007912CB">
      <w:pPr>
        <w:ind w:left="709"/>
        <w:rPr>
          <w:color w:val="000000"/>
          <w:lang w:val="ru-RU"/>
        </w:rPr>
      </w:pPr>
      <w:r w:rsidRPr="008148B6">
        <w:rPr>
          <w:color w:val="000000"/>
          <w:vertAlign w:val="superscript"/>
          <w:lang w:val="ru-RU"/>
        </w:rPr>
        <w:t>3</w:t>
      </w:r>
      <w:proofErr w:type="gramStart"/>
      <w:r w:rsidR="00B15A6B" w:rsidRPr="008148B6">
        <w:rPr>
          <w:color w:val="000000"/>
          <w:lang w:val="ru-RU"/>
        </w:rPr>
        <w:t>НИТУ</w:t>
      </w:r>
      <w:r w:rsidRPr="008148B6">
        <w:rPr>
          <w:color w:val="000000"/>
          <w:lang w:val="ru-RU"/>
        </w:rPr>
        <w:t>«</w:t>
      </w:r>
      <w:proofErr w:type="gramEnd"/>
      <w:r w:rsidRPr="008148B6">
        <w:rPr>
          <w:color w:val="000000"/>
          <w:lang w:val="ru-RU"/>
        </w:rPr>
        <w:t xml:space="preserve">МИСиС», </w:t>
      </w:r>
      <w:r w:rsidR="00B15A6B" w:rsidRPr="008148B6">
        <w:rPr>
          <w:color w:val="000000"/>
          <w:lang w:val="ru-RU"/>
        </w:rPr>
        <w:t>г.</w:t>
      </w:r>
      <w:r w:rsidRPr="008148B6">
        <w:rPr>
          <w:color w:val="000000"/>
          <w:lang w:val="ru-RU"/>
        </w:rPr>
        <w:t xml:space="preserve"> Москва, Россия</w:t>
      </w:r>
    </w:p>
    <w:p w:rsidR="0030710D" w:rsidRPr="008148B6" w:rsidRDefault="0030710D" w:rsidP="007912CB">
      <w:pPr>
        <w:ind w:left="709"/>
        <w:rPr>
          <w:color w:val="000000"/>
          <w:lang w:val="ru-RU"/>
        </w:rPr>
      </w:pPr>
      <w:r w:rsidRPr="008148B6">
        <w:rPr>
          <w:color w:val="000000"/>
          <w:vertAlign w:val="superscript"/>
          <w:lang w:val="ru-RU"/>
        </w:rPr>
        <w:t>4</w:t>
      </w:r>
      <w:r w:rsidR="00B15A6B" w:rsidRPr="008148B6">
        <w:rPr>
          <w:color w:val="000000"/>
          <w:lang w:val="ru-RU"/>
        </w:rPr>
        <w:t xml:space="preserve">ФТИ </w:t>
      </w:r>
      <w:r w:rsidRPr="008148B6">
        <w:rPr>
          <w:color w:val="000000"/>
          <w:lang w:val="ru-RU"/>
        </w:rPr>
        <w:t>им. А.Ф. Иоффе РАН,</w:t>
      </w:r>
      <w:r w:rsidR="00B15A6B" w:rsidRPr="008148B6">
        <w:rPr>
          <w:color w:val="000000"/>
          <w:lang w:val="ru-RU"/>
        </w:rPr>
        <w:t xml:space="preserve"> г.</w:t>
      </w:r>
      <w:r w:rsidRPr="008148B6">
        <w:rPr>
          <w:color w:val="000000"/>
          <w:lang w:val="ru-RU"/>
        </w:rPr>
        <w:t xml:space="preserve"> Санкт-Петербург,</w:t>
      </w:r>
      <w:r w:rsidRPr="008148B6">
        <w:rPr>
          <w:lang w:val="ru-RU"/>
        </w:rPr>
        <w:t xml:space="preserve"> </w:t>
      </w:r>
      <w:r w:rsidRPr="008148B6">
        <w:rPr>
          <w:color w:val="000000"/>
          <w:lang w:val="ru-RU"/>
        </w:rPr>
        <w:t>Россия</w:t>
      </w:r>
    </w:p>
    <w:p w:rsidR="0030710D" w:rsidRPr="008148B6" w:rsidRDefault="0030710D" w:rsidP="007912CB">
      <w:pPr>
        <w:ind w:left="709"/>
        <w:rPr>
          <w:color w:val="000000"/>
          <w:lang w:val="ru-RU"/>
        </w:rPr>
      </w:pPr>
      <w:r w:rsidRPr="008148B6">
        <w:rPr>
          <w:color w:val="000000"/>
          <w:vertAlign w:val="superscript"/>
          <w:lang w:val="ru-RU"/>
        </w:rPr>
        <w:t>5</w:t>
      </w:r>
      <w:proofErr w:type="gramStart"/>
      <w:r w:rsidR="00B15A6B" w:rsidRPr="008148B6">
        <w:rPr>
          <w:color w:val="000000"/>
          <w:lang w:val="ru-RU"/>
        </w:rPr>
        <w:t>СПбГТЭУ</w:t>
      </w:r>
      <w:r w:rsidRPr="008148B6">
        <w:rPr>
          <w:color w:val="000000"/>
          <w:lang w:val="ru-RU"/>
        </w:rPr>
        <w:t>«</w:t>
      </w:r>
      <w:proofErr w:type="gramEnd"/>
      <w:r w:rsidRPr="008148B6">
        <w:rPr>
          <w:color w:val="000000"/>
          <w:lang w:val="ru-RU"/>
        </w:rPr>
        <w:t xml:space="preserve">ЛЭТИ» им. В.И. Ульянова (Ленина), </w:t>
      </w:r>
      <w:r w:rsidR="00B15A6B" w:rsidRPr="008148B6">
        <w:rPr>
          <w:color w:val="000000"/>
          <w:lang w:val="ru-RU"/>
        </w:rPr>
        <w:t xml:space="preserve">г. </w:t>
      </w:r>
      <w:r w:rsidRPr="008148B6">
        <w:rPr>
          <w:color w:val="000000"/>
          <w:lang w:val="ru-RU"/>
        </w:rPr>
        <w:t>Санкт-Петербург, Россия</w:t>
      </w:r>
    </w:p>
    <w:p w:rsidR="008148B6" w:rsidRPr="008148B6" w:rsidRDefault="008148B6" w:rsidP="008148B6">
      <w:pPr>
        <w:ind w:left="284"/>
        <w:rPr>
          <w:color w:val="000000"/>
          <w:lang w:val="ru-RU"/>
        </w:rPr>
      </w:pPr>
    </w:p>
    <w:p w:rsidR="008148B6" w:rsidRPr="008148B6" w:rsidRDefault="00000000" w:rsidP="008148B6">
      <w:pPr>
        <w:ind w:left="284"/>
        <w:rPr>
          <w:color w:val="000000" w:themeColor="text1"/>
          <w:lang w:val="ru-RU"/>
        </w:rPr>
      </w:pPr>
      <w:hyperlink r:id="rId8" w:history="1">
        <w:r w:rsidR="008148B6" w:rsidRPr="008148B6">
          <w:rPr>
            <w:rStyle w:val="a8"/>
            <w:color w:val="000000" w:themeColor="text1"/>
            <w:u w:val="none"/>
            <w:vertAlign w:val="superscript"/>
            <w:lang w:val="ru-RU"/>
          </w:rPr>
          <w:t>1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nickiplatonov</w:t>
        </w:r>
        <w:r w:rsidR="008148B6" w:rsidRPr="008148B6">
          <w:rPr>
            <w:rStyle w:val="a8"/>
            <w:color w:val="000000" w:themeColor="text1"/>
            <w:u w:val="none"/>
            <w:lang w:val="ru-RU"/>
          </w:rPr>
          <w:t>@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gmail</w:t>
        </w:r>
        <w:r w:rsidR="008148B6" w:rsidRPr="008148B6">
          <w:rPr>
            <w:rStyle w:val="a8"/>
            <w:color w:val="000000" w:themeColor="text1"/>
            <w:u w:val="none"/>
            <w:lang w:val="ru-RU"/>
          </w:rPr>
          <w:t>.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com</w:t>
        </w:r>
      </w:hyperlink>
      <w:r w:rsidR="008148B6" w:rsidRPr="008148B6">
        <w:rPr>
          <w:color w:val="000000" w:themeColor="text1"/>
          <w:lang w:val="ru-RU"/>
        </w:rPr>
        <w:t xml:space="preserve">, </w:t>
      </w:r>
      <w:hyperlink r:id="rId9" w:history="1">
        <w:r w:rsidR="008148B6" w:rsidRPr="008148B6">
          <w:rPr>
            <w:rStyle w:val="a8"/>
            <w:color w:val="000000" w:themeColor="text1"/>
            <w:u w:val="none"/>
            <w:vertAlign w:val="superscript"/>
            <w:lang w:val="ru-RU"/>
          </w:rPr>
          <w:t>2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lebedev</w:t>
        </w:r>
        <w:r w:rsidR="008148B6" w:rsidRPr="008148B6">
          <w:rPr>
            <w:rStyle w:val="a8"/>
            <w:color w:val="000000" w:themeColor="text1"/>
            <w:u w:val="none"/>
            <w:lang w:val="ru-RU"/>
          </w:rPr>
          <w:t>_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aa</w:t>
        </w:r>
        <w:r w:rsidR="008148B6" w:rsidRPr="008148B6">
          <w:rPr>
            <w:rStyle w:val="a8"/>
            <w:color w:val="000000" w:themeColor="text1"/>
            <w:u w:val="none"/>
            <w:lang w:val="ru-RU"/>
          </w:rPr>
          <w:t>@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npp</w:t>
        </w:r>
        <w:r w:rsidR="008148B6" w:rsidRPr="008148B6">
          <w:rPr>
            <w:rStyle w:val="a8"/>
            <w:color w:val="000000" w:themeColor="text1"/>
            <w:u w:val="none"/>
            <w:lang w:val="ru-RU"/>
          </w:rPr>
          <w:t>-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kvant</w:t>
        </w:r>
        <w:r w:rsidR="008148B6" w:rsidRPr="008148B6">
          <w:rPr>
            <w:rStyle w:val="a8"/>
            <w:color w:val="000000" w:themeColor="text1"/>
            <w:u w:val="none"/>
            <w:lang w:val="ru-RU"/>
          </w:rPr>
          <w:t>.</w:t>
        </w:r>
        <w:r w:rsidR="008148B6" w:rsidRPr="008148B6">
          <w:rPr>
            <w:rStyle w:val="a8"/>
            <w:color w:val="000000" w:themeColor="text1"/>
            <w:u w:val="none"/>
            <w:lang w:val="en-US"/>
          </w:rPr>
          <w:t>ru</w:t>
        </w:r>
      </w:hyperlink>
      <w:r w:rsidR="008148B6" w:rsidRPr="008148B6">
        <w:rPr>
          <w:color w:val="000000" w:themeColor="text1"/>
          <w:lang w:val="ru-RU"/>
        </w:rPr>
        <w:t xml:space="preserve">, </w:t>
      </w:r>
      <w:r w:rsidR="008148B6" w:rsidRPr="008148B6">
        <w:rPr>
          <w:color w:val="000000" w:themeColor="text1"/>
          <w:vertAlign w:val="superscript"/>
          <w:lang w:val="ru-RU"/>
        </w:rPr>
        <w:t>4</w:t>
      </w:r>
      <w:r w:rsidR="008148B6" w:rsidRPr="008148B6">
        <w:rPr>
          <w:color w:val="000000"/>
          <w:lang w:val="ru-RU"/>
        </w:rPr>
        <w:t>e.terukov@hevelsolar.com</w:t>
      </w:r>
    </w:p>
    <w:p w:rsidR="008148B6" w:rsidRPr="008148B6" w:rsidRDefault="008148B6" w:rsidP="004527E7">
      <w:pPr>
        <w:ind w:right="-1" w:firstLine="284"/>
        <w:jc w:val="both"/>
        <w:rPr>
          <w:color w:val="FF0000"/>
          <w:lang w:val="ru-RU"/>
        </w:rPr>
      </w:pPr>
    </w:p>
    <w:p w:rsidR="00AF4EDA" w:rsidRPr="009507B6" w:rsidRDefault="00E30E85" w:rsidP="00543226">
      <w:pPr>
        <w:ind w:firstLine="709"/>
        <w:jc w:val="both"/>
        <w:rPr>
          <w:color w:val="000000"/>
          <w:lang w:val="ru-RU"/>
        </w:rPr>
      </w:pPr>
      <w:r w:rsidRPr="009507B6">
        <w:rPr>
          <w:b/>
          <w:bCs/>
          <w:color w:val="000000" w:themeColor="text1"/>
          <w:lang w:val="ru-RU"/>
        </w:rPr>
        <w:t xml:space="preserve">Аннотация: </w:t>
      </w:r>
      <w:r w:rsidR="00AF4EDA" w:rsidRPr="009507B6">
        <w:rPr>
          <w:color w:val="000000"/>
          <w:lang w:val="ru-RU"/>
        </w:rPr>
        <w:t>Полупроводниковые структуры современных приборов микро-, оптоэлектроники содержат слои толщиной в несколько нанометров и размеры отдельных элементов в них достигают нескольких десятков нанометров [1]. В связи с этим, разработка и создание новых материалов и структур для полупроводниковой электроники требует соответствующего развития точных методов и средств контроля их параметров [2, 3].</w:t>
      </w:r>
      <w:r w:rsidRPr="009507B6">
        <w:rPr>
          <w:lang w:val="ru-RU"/>
        </w:rPr>
        <w:t xml:space="preserve"> Рост требований к характеристикам современных полупроводниковых приборов, одним из которых является применяемый в составе солнечных батарей в энергоустановках космических аппаратов многокаскадный фотоэлектрический преобразователь (ФЭП) с гетероструктурой типа </w:t>
      </w:r>
      <w:proofErr w:type="spellStart"/>
      <w:r w:rsidRPr="009507B6">
        <w:rPr>
          <w:lang w:val="en-US"/>
        </w:rPr>
        <w:t>InGaP</w:t>
      </w:r>
      <w:proofErr w:type="spellEnd"/>
      <w:r w:rsidRPr="009507B6">
        <w:rPr>
          <w:lang w:val="ru-RU"/>
        </w:rPr>
        <w:t>/</w:t>
      </w:r>
      <w:proofErr w:type="spellStart"/>
      <w:r w:rsidRPr="009507B6">
        <w:rPr>
          <w:lang w:val="en-US"/>
        </w:rPr>
        <w:t>InGaAs</w:t>
      </w:r>
      <w:proofErr w:type="spellEnd"/>
      <w:r w:rsidRPr="009507B6">
        <w:rPr>
          <w:lang w:val="ru-RU"/>
        </w:rPr>
        <w:t>/</w:t>
      </w:r>
      <w:r w:rsidRPr="009507B6">
        <w:rPr>
          <w:lang w:val="en-US"/>
        </w:rPr>
        <w:t>Ge</w:t>
      </w:r>
      <w:r w:rsidRPr="009507B6">
        <w:rPr>
          <w:lang w:val="ru-RU"/>
        </w:rPr>
        <w:t>, побуждает к совершенствованию методов их создания и исследования.</w:t>
      </w:r>
      <w:r w:rsidR="00543226">
        <w:rPr>
          <w:lang w:val="ru-RU"/>
        </w:rPr>
        <w:t xml:space="preserve"> </w:t>
      </w:r>
      <w:r w:rsidR="00543226" w:rsidRPr="00543226">
        <w:rPr>
          <w:lang w:val="ru-RU"/>
        </w:rPr>
        <w:t xml:space="preserve">Вместе с этим, для фотоэлектрических преобразователей (ФЭП), самыми эффективными из которых сегодня являются многокаскадные приборы с гетероструктурой типа </w:t>
      </w:r>
      <w:proofErr w:type="spellStart"/>
      <w:r w:rsidR="00543226" w:rsidRPr="00DD608F">
        <w:rPr>
          <w:lang w:val="en-US"/>
        </w:rPr>
        <w:t>InGaP</w:t>
      </w:r>
      <w:proofErr w:type="spellEnd"/>
      <w:r w:rsidR="00543226" w:rsidRPr="00543226">
        <w:rPr>
          <w:lang w:val="ru-RU"/>
        </w:rPr>
        <w:t>/</w:t>
      </w:r>
      <w:proofErr w:type="spellStart"/>
      <w:r w:rsidR="00543226" w:rsidRPr="00DD608F">
        <w:rPr>
          <w:lang w:val="en-US"/>
        </w:rPr>
        <w:t>InGaAs</w:t>
      </w:r>
      <w:proofErr w:type="spellEnd"/>
      <w:r w:rsidR="00543226" w:rsidRPr="00543226">
        <w:rPr>
          <w:lang w:val="ru-RU"/>
        </w:rPr>
        <w:t>/</w:t>
      </w:r>
      <w:r w:rsidR="00543226" w:rsidRPr="00DD608F">
        <w:rPr>
          <w:lang w:val="en-US"/>
        </w:rPr>
        <w:t>Ge</w:t>
      </w:r>
      <w:r w:rsidR="00543226" w:rsidRPr="00543226">
        <w:rPr>
          <w:lang w:val="ru-RU"/>
        </w:rPr>
        <w:t>, находящие применение в составе солнечной батареи в качестве первичного источника энергии для питания бортовой аппаратуры космических аппаратов, актуальным является сохранение однородности каждого из тонких слоёв структуры на площадях более 60</w:t>
      </w:r>
      <w:r w:rsidR="00543226" w:rsidRPr="00DD608F">
        <w:t> </w:t>
      </w:r>
      <w:r w:rsidR="00543226" w:rsidRPr="00543226">
        <w:rPr>
          <w:lang w:val="ru-RU"/>
        </w:rPr>
        <w:t>см</w:t>
      </w:r>
      <w:r w:rsidR="00543226" w:rsidRPr="00543226">
        <w:rPr>
          <w:vertAlign w:val="superscript"/>
          <w:lang w:val="ru-RU"/>
        </w:rPr>
        <w:t>2</w:t>
      </w:r>
      <w:r w:rsidR="00543226" w:rsidRPr="00543226">
        <w:rPr>
          <w:lang w:val="ru-RU"/>
        </w:rPr>
        <w:t xml:space="preserve">. </w:t>
      </w:r>
      <w:r w:rsidR="00543226" w:rsidRPr="00DD608F">
        <w:t>[4]</w:t>
      </w:r>
    </w:p>
    <w:p w:rsidR="00153899" w:rsidRPr="009507B6" w:rsidRDefault="00153899" w:rsidP="00543226">
      <w:pPr>
        <w:pStyle w:val="BodyText"/>
        <w:spacing w:before="0" w:after="0"/>
        <w:ind w:firstLine="709"/>
        <w:jc w:val="both"/>
      </w:pPr>
      <w:r w:rsidRPr="009507B6">
        <w:t>В данной работе на примере полученных методом МОС-</w:t>
      </w:r>
      <w:proofErr w:type="spellStart"/>
      <w:r w:rsidRPr="009507B6">
        <w:t>гидридной</w:t>
      </w:r>
      <w:proofErr w:type="spellEnd"/>
      <w:r w:rsidRPr="009507B6">
        <w:t xml:space="preserve"> эпитаксии твердых растворов </w:t>
      </w:r>
      <w:r w:rsidRPr="009507B6">
        <w:rPr>
          <w:lang w:val="en-US"/>
        </w:rPr>
        <w:t>In</w:t>
      </w:r>
      <w:r w:rsidRPr="009507B6">
        <w:rPr>
          <w:vertAlign w:val="subscript"/>
        </w:rPr>
        <w:t>0.01</w:t>
      </w:r>
      <w:r w:rsidRPr="009507B6">
        <w:rPr>
          <w:lang w:val="en-US"/>
        </w:rPr>
        <w:t>Ga</w:t>
      </w:r>
      <w:r w:rsidRPr="009507B6">
        <w:rPr>
          <w:vertAlign w:val="subscript"/>
        </w:rPr>
        <w:t>0.99</w:t>
      </w:r>
      <w:r w:rsidRPr="009507B6">
        <w:rPr>
          <w:lang w:val="en-US"/>
        </w:rPr>
        <w:t>As</w:t>
      </w:r>
      <w:r w:rsidRPr="009507B6">
        <w:t xml:space="preserve"> </w:t>
      </w:r>
      <w:r w:rsidRPr="009507B6">
        <w:rPr>
          <w:lang w:val="en-US"/>
        </w:rPr>
        <w:t>p</w:t>
      </w:r>
      <w:r w:rsidRPr="009507B6">
        <w:t xml:space="preserve">- и </w:t>
      </w:r>
      <w:r w:rsidRPr="009507B6">
        <w:rPr>
          <w:lang w:val="en-US"/>
        </w:rPr>
        <w:t>n</w:t>
      </w:r>
      <w:r w:rsidRPr="009507B6">
        <w:t>-типов легирования, предложена и апробирована методика исследования основных электрофизических характеристик эпитаксиальных полупроводниковых слоев с учетом необходимости оценки их однородности на образцах большой площади – например, для фотоэлектрических преобразователей (ФЭП).</w:t>
      </w:r>
    </w:p>
    <w:p w:rsidR="00DA3766" w:rsidRDefault="00E30E85" w:rsidP="007912CB">
      <w:pPr>
        <w:spacing w:after="360"/>
        <w:ind w:right="-1" w:firstLine="709"/>
        <w:rPr>
          <w:bCs/>
          <w:iCs/>
          <w:lang w:val="ru-RU"/>
        </w:rPr>
      </w:pPr>
      <w:r w:rsidRPr="009507B6">
        <w:rPr>
          <w:b/>
          <w:iCs/>
          <w:lang w:val="ru-RU"/>
        </w:rPr>
        <w:t xml:space="preserve">Ключевые слова: </w:t>
      </w:r>
      <w:r w:rsidRPr="009507B6">
        <w:rPr>
          <w:bCs/>
          <w:iCs/>
          <w:lang w:val="ru-RU"/>
        </w:rPr>
        <w:t>фотоэлектрический преобразователь (ФЭП), полупроводниковые слои, эпитаксиальный слой (ЭП), удельное сопротивление, удельная проводимость, концентрация основных носителей заряда (ОНЗ), уровень легирования.</w:t>
      </w:r>
    </w:p>
    <w:p w:rsidR="009507B6" w:rsidRPr="009507B6" w:rsidRDefault="009507B6" w:rsidP="007912CB">
      <w:pPr>
        <w:spacing w:after="360"/>
        <w:ind w:firstLine="709"/>
        <w:rPr>
          <w:bCs/>
          <w:iCs/>
          <w:lang w:val="en-US"/>
        </w:rPr>
      </w:pPr>
      <w:r w:rsidRPr="009507B6">
        <w:rPr>
          <w:bCs/>
          <w:iCs/>
          <w:lang w:val="en-US"/>
        </w:rPr>
        <w:t xml:space="preserve">Nikolai </w:t>
      </w:r>
      <w:proofErr w:type="spellStart"/>
      <w:r w:rsidRPr="009507B6">
        <w:rPr>
          <w:bCs/>
          <w:iCs/>
          <w:lang w:val="en-US"/>
        </w:rPr>
        <w:t>Dmitrievich</w:t>
      </w:r>
      <w:proofErr w:type="spellEnd"/>
      <w:r w:rsidRPr="009507B6">
        <w:rPr>
          <w:bCs/>
          <w:iCs/>
          <w:lang w:val="en-US"/>
        </w:rPr>
        <w:t xml:space="preserve"> Platonov</w:t>
      </w:r>
      <w:r w:rsidRPr="009507B6">
        <w:rPr>
          <w:bCs/>
          <w:iCs/>
          <w:vertAlign w:val="superscript"/>
          <w:lang w:val="en-US"/>
        </w:rPr>
        <w:t>1</w:t>
      </w:r>
      <w:r w:rsidRPr="009507B6">
        <w:rPr>
          <w:bCs/>
          <w:iCs/>
          <w:lang w:val="en-US"/>
        </w:rPr>
        <w:t xml:space="preserve">, Andrey </w:t>
      </w:r>
      <w:proofErr w:type="spellStart"/>
      <w:r w:rsidRPr="009507B6">
        <w:rPr>
          <w:bCs/>
          <w:iCs/>
          <w:lang w:val="en-US"/>
        </w:rPr>
        <w:t>Alexandrovich</w:t>
      </w:r>
      <w:proofErr w:type="spellEnd"/>
      <w:r w:rsidRPr="009507B6">
        <w:rPr>
          <w:bCs/>
          <w:iCs/>
          <w:lang w:val="en-US"/>
        </w:rPr>
        <w:t xml:space="preserve"> Lebedev</w:t>
      </w:r>
      <w:r w:rsidRPr="009507B6">
        <w:rPr>
          <w:bCs/>
          <w:iCs/>
          <w:vertAlign w:val="superscript"/>
          <w:lang w:val="en-US"/>
        </w:rPr>
        <w:t>2,3</w:t>
      </w:r>
      <w:r w:rsidRPr="009507B6">
        <w:rPr>
          <w:bCs/>
          <w:iCs/>
          <w:lang w:val="en-US"/>
        </w:rPr>
        <w:t xml:space="preserve">, Vadim </w:t>
      </w:r>
      <w:proofErr w:type="spellStart"/>
      <w:r w:rsidRPr="009507B6">
        <w:rPr>
          <w:bCs/>
          <w:iCs/>
          <w:lang w:val="en-US"/>
        </w:rPr>
        <w:t>Leonidovich</w:t>
      </w:r>
      <w:proofErr w:type="spellEnd"/>
      <w:r w:rsidRPr="009507B6">
        <w:rPr>
          <w:bCs/>
          <w:iCs/>
          <w:lang w:val="en-US"/>
        </w:rPr>
        <w:t xml:space="preserve"> Matukhin</w:t>
      </w:r>
      <w:r w:rsidRPr="009507B6">
        <w:rPr>
          <w:bCs/>
          <w:iCs/>
          <w:vertAlign w:val="superscript"/>
          <w:lang w:val="en-US"/>
        </w:rPr>
        <w:t>1</w:t>
      </w:r>
      <w:r w:rsidRPr="009507B6">
        <w:rPr>
          <w:bCs/>
          <w:iCs/>
          <w:lang w:val="en-US"/>
        </w:rPr>
        <w:t xml:space="preserve">, </w:t>
      </w:r>
      <w:r w:rsidR="00A112BE" w:rsidRPr="00A112BE">
        <w:rPr>
          <w:bCs/>
          <w:iCs/>
          <w:lang w:val="en-US"/>
        </w:rPr>
        <w:t>Ivanov Alexander Fedorovich</w:t>
      </w:r>
      <w:r w:rsidR="00A112BE" w:rsidRPr="00A112BE">
        <w:rPr>
          <w:bCs/>
          <w:iCs/>
          <w:vertAlign w:val="superscript"/>
          <w:lang w:val="en-US"/>
        </w:rPr>
        <w:t>1</w:t>
      </w:r>
      <w:r w:rsidR="00A112BE" w:rsidRPr="00A112BE">
        <w:rPr>
          <w:bCs/>
          <w:iCs/>
          <w:lang w:val="en-US"/>
        </w:rPr>
        <w:t xml:space="preserve">, </w:t>
      </w:r>
      <w:proofErr w:type="spellStart"/>
      <w:r w:rsidRPr="009507B6">
        <w:rPr>
          <w:bCs/>
          <w:iCs/>
          <w:lang w:val="en-US"/>
        </w:rPr>
        <w:t>Evgeny</w:t>
      </w:r>
      <w:proofErr w:type="spellEnd"/>
      <w:r w:rsidRPr="009507B6">
        <w:rPr>
          <w:bCs/>
          <w:iCs/>
          <w:lang w:val="en-US"/>
        </w:rPr>
        <w:t xml:space="preserve"> </w:t>
      </w:r>
      <w:proofErr w:type="spellStart"/>
      <w:r w:rsidRPr="009507B6">
        <w:rPr>
          <w:bCs/>
          <w:iCs/>
          <w:lang w:val="en-US"/>
        </w:rPr>
        <w:t>Ivanovich</w:t>
      </w:r>
      <w:proofErr w:type="spellEnd"/>
      <w:r w:rsidRPr="009507B6">
        <w:rPr>
          <w:bCs/>
          <w:iCs/>
          <w:lang w:val="en-US"/>
        </w:rPr>
        <w:t xml:space="preserve"> Terukov</w:t>
      </w:r>
      <w:r w:rsidRPr="00A112BE">
        <w:rPr>
          <w:bCs/>
          <w:iCs/>
          <w:vertAlign w:val="superscript"/>
          <w:lang w:val="en-US"/>
        </w:rPr>
        <w:t>4,5</w:t>
      </w:r>
    </w:p>
    <w:p w:rsidR="009507B6" w:rsidRPr="009507B6" w:rsidRDefault="009507B6" w:rsidP="007912CB">
      <w:pPr>
        <w:ind w:firstLine="709"/>
        <w:rPr>
          <w:bCs/>
          <w:iCs/>
          <w:lang w:val="en-US"/>
        </w:rPr>
      </w:pPr>
      <w:r w:rsidRPr="00A112BE">
        <w:rPr>
          <w:bCs/>
          <w:iCs/>
          <w:vertAlign w:val="superscript"/>
          <w:lang w:val="en-US"/>
        </w:rPr>
        <w:t>1</w:t>
      </w:r>
      <w:r w:rsidRPr="009507B6">
        <w:rPr>
          <w:bCs/>
          <w:iCs/>
          <w:lang w:val="en-US"/>
        </w:rPr>
        <w:t xml:space="preserve"> </w:t>
      </w:r>
      <w:r w:rsidR="00A112BE" w:rsidRPr="00A112BE">
        <w:rPr>
          <w:bCs/>
          <w:iCs/>
          <w:lang w:val="en-US"/>
        </w:rPr>
        <w:t xml:space="preserve">Federal State State-subsidized Educational Institution of Higher Professional Education «KAZAN STATE POWER ENGINEERING UNIVERSITY». </w:t>
      </w:r>
      <w:r w:rsidRPr="009507B6">
        <w:rPr>
          <w:bCs/>
          <w:iCs/>
          <w:lang w:val="en-US"/>
        </w:rPr>
        <w:t>Republic of Tatarstan</w:t>
      </w:r>
    </w:p>
    <w:p w:rsidR="009507B6" w:rsidRPr="009507B6" w:rsidRDefault="009507B6" w:rsidP="007912CB">
      <w:pPr>
        <w:ind w:firstLine="709"/>
        <w:rPr>
          <w:bCs/>
          <w:iCs/>
          <w:lang w:val="en-US"/>
        </w:rPr>
      </w:pPr>
      <w:r w:rsidRPr="00A112BE">
        <w:rPr>
          <w:bCs/>
          <w:iCs/>
          <w:vertAlign w:val="superscript"/>
          <w:lang w:val="en-US"/>
        </w:rPr>
        <w:t>2</w:t>
      </w:r>
      <w:r w:rsidR="00A112BE" w:rsidRPr="007912CB">
        <w:rPr>
          <w:bCs/>
          <w:iCs/>
          <w:vertAlign w:val="superscript"/>
          <w:lang w:val="en-US"/>
        </w:rPr>
        <w:t xml:space="preserve"> </w:t>
      </w:r>
      <w:r w:rsidRPr="009507B6">
        <w:rPr>
          <w:bCs/>
          <w:iCs/>
          <w:lang w:val="en-US"/>
        </w:rPr>
        <w:t xml:space="preserve">JSC NPP </w:t>
      </w:r>
      <w:proofErr w:type="spellStart"/>
      <w:r w:rsidRPr="009507B6">
        <w:rPr>
          <w:bCs/>
          <w:iCs/>
          <w:lang w:val="en-US"/>
        </w:rPr>
        <w:t>Kvant</w:t>
      </w:r>
      <w:proofErr w:type="spellEnd"/>
      <w:r w:rsidRPr="009507B6">
        <w:rPr>
          <w:bCs/>
          <w:iCs/>
          <w:lang w:val="en-US"/>
        </w:rPr>
        <w:t>, Moscow, Russia</w:t>
      </w:r>
    </w:p>
    <w:p w:rsidR="009507B6" w:rsidRPr="009507B6" w:rsidRDefault="009507B6" w:rsidP="007912CB">
      <w:pPr>
        <w:ind w:firstLine="709"/>
        <w:rPr>
          <w:bCs/>
          <w:iCs/>
          <w:lang w:val="en-US"/>
        </w:rPr>
      </w:pPr>
      <w:r w:rsidRPr="00A112BE">
        <w:rPr>
          <w:bCs/>
          <w:iCs/>
          <w:vertAlign w:val="superscript"/>
          <w:lang w:val="en-US"/>
        </w:rPr>
        <w:t>3</w:t>
      </w:r>
      <w:r w:rsidR="00A112BE" w:rsidRPr="00A112BE">
        <w:t xml:space="preserve"> </w:t>
      </w:r>
      <w:r w:rsidR="00A112BE" w:rsidRPr="00A112BE">
        <w:rPr>
          <w:bCs/>
          <w:iCs/>
          <w:lang w:val="en-US"/>
        </w:rPr>
        <w:t>National University of Science and Technology «</w:t>
      </w:r>
      <w:proofErr w:type="spellStart"/>
      <w:r w:rsidR="00A112BE" w:rsidRPr="00A112BE">
        <w:rPr>
          <w:bCs/>
          <w:iCs/>
          <w:lang w:val="en-US"/>
        </w:rPr>
        <w:t>MISiS</w:t>
      </w:r>
      <w:proofErr w:type="spellEnd"/>
      <w:r w:rsidR="00A112BE" w:rsidRPr="00A112BE">
        <w:rPr>
          <w:bCs/>
          <w:iCs/>
          <w:lang w:val="en-US"/>
        </w:rPr>
        <w:t>»</w:t>
      </w:r>
      <w:r w:rsidRPr="009507B6">
        <w:rPr>
          <w:bCs/>
          <w:iCs/>
          <w:lang w:val="en-US"/>
        </w:rPr>
        <w:t>, Moscow, Russia</w:t>
      </w:r>
    </w:p>
    <w:p w:rsidR="009507B6" w:rsidRPr="009507B6" w:rsidRDefault="009507B6" w:rsidP="007912CB">
      <w:pPr>
        <w:ind w:firstLine="709"/>
        <w:rPr>
          <w:bCs/>
          <w:iCs/>
          <w:lang w:val="en-US"/>
        </w:rPr>
      </w:pPr>
      <w:r w:rsidRPr="00A112BE">
        <w:rPr>
          <w:bCs/>
          <w:iCs/>
          <w:vertAlign w:val="superscript"/>
          <w:lang w:val="en-US"/>
        </w:rPr>
        <w:t>4</w:t>
      </w:r>
      <w:r w:rsidR="00A112BE" w:rsidRPr="007912CB">
        <w:rPr>
          <w:bCs/>
          <w:iCs/>
          <w:vertAlign w:val="superscript"/>
          <w:lang w:val="en-US"/>
        </w:rPr>
        <w:t xml:space="preserve"> </w:t>
      </w:r>
      <w:r w:rsidRPr="009507B6">
        <w:rPr>
          <w:bCs/>
          <w:iCs/>
          <w:lang w:val="en-US"/>
        </w:rPr>
        <w:t xml:space="preserve">FTI </w:t>
      </w:r>
      <w:proofErr w:type="spellStart"/>
      <w:r w:rsidRPr="009507B6">
        <w:rPr>
          <w:bCs/>
          <w:iCs/>
          <w:lang w:val="en-US"/>
        </w:rPr>
        <w:t>im</w:t>
      </w:r>
      <w:proofErr w:type="spellEnd"/>
      <w:r w:rsidRPr="009507B6">
        <w:rPr>
          <w:bCs/>
          <w:iCs/>
          <w:lang w:val="en-US"/>
        </w:rPr>
        <w:t xml:space="preserve">. A.F. </w:t>
      </w:r>
      <w:proofErr w:type="spellStart"/>
      <w:r w:rsidRPr="009507B6">
        <w:rPr>
          <w:bCs/>
          <w:iCs/>
          <w:lang w:val="en-US"/>
        </w:rPr>
        <w:t>Ioffe</w:t>
      </w:r>
      <w:proofErr w:type="spellEnd"/>
      <w:r w:rsidRPr="009507B6">
        <w:rPr>
          <w:bCs/>
          <w:iCs/>
          <w:lang w:val="en-US"/>
        </w:rPr>
        <w:t xml:space="preserve"> RAS, St. Petersburg, Russia</w:t>
      </w:r>
    </w:p>
    <w:p w:rsidR="009507B6" w:rsidRPr="009507B6" w:rsidRDefault="009507B6" w:rsidP="007912CB">
      <w:pPr>
        <w:ind w:firstLine="709"/>
        <w:rPr>
          <w:bCs/>
          <w:iCs/>
          <w:lang w:val="en-US"/>
        </w:rPr>
      </w:pPr>
      <w:r w:rsidRPr="00A112BE">
        <w:rPr>
          <w:bCs/>
          <w:iCs/>
          <w:vertAlign w:val="superscript"/>
          <w:lang w:val="en-US"/>
        </w:rPr>
        <w:t>5</w:t>
      </w:r>
      <w:r w:rsidR="00A112BE" w:rsidRPr="007912CB">
        <w:rPr>
          <w:bCs/>
          <w:iCs/>
          <w:vertAlign w:val="superscript"/>
          <w:lang w:val="en-US"/>
        </w:rPr>
        <w:t xml:space="preserve"> </w:t>
      </w:r>
      <w:proofErr w:type="spellStart"/>
      <w:r w:rsidRPr="009507B6">
        <w:rPr>
          <w:bCs/>
          <w:iCs/>
          <w:lang w:val="en-US"/>
        </w:rPr>
        <w:t>SPbGTEU</w:t>
      </w:r>
      <w:proofErr w:type="spellEnd"/>
      <w:r w:rsidRPr="009507B6">
        <w:rPr>
          <w:bCs/>
          <w:iCs/>
          <w:lang w:val="en-US"/>
        </w:rPr>
        <w:t xml:space="preserve"> "LETI" them. IN AND. </w:t>
      </w:r>
      <w:proofErr w:type="spellStart"/>
      <w:r w:rsidRPr="009507B6">
        <w:rPr>
          <w:bCs/>
          <w:iCs/>
          <w:lang w:val="en-US"/>
        </w:rPr>
        <w:t>Ulyanova</w:t>
      </w:r>
      <w:proofErr w:type="spellEnd"/>
      <w:r w:rsidRPr="009507B6">
        <w:rPr>
          <w:bCs/>
          <w:iCs/>
          <w:lang w:val="en-US"/>
        </w:rPr>
        <w:t xml:space="preserve"> (Lenin), St. Petersburg, Russia</w:t>
      </w:r>
    </w:p>
    <w:p w:rsidR="00A112BE" w:rsidRDefault="00A112BE" w:rsidP="007912CB">
      <w:pPr>
        <w:spacing w:after="360"/>
        <w:ind w:firstLine="709"/>
        <w:jc w:val="center"/>
        <w:rPr>
          <w:bCs/>
          <w:iCs/>
          <w:lang w:val="en-US"/>
        </w:rPr>
      </w:pPr>
    </w:p>
    <w:p w:rsidR="009507B6" w:rsidRDefault="009507B6" w:rsidP="00543226">
      <w:pPr>
        <w:ind w:firstLine="709"/>
        <w:jc w:val="center"/>
        <w:rPr>
          <w:rStyle w:val="a8"/>
          <w:bCs/>
          <w:iCs/>
          <w:lang w:val="en-US"/>
        </w:rPr>
      </w:pPr>
      <w:r w:rsidRPr="00A112BE">
        <w:rPr>
          <w:bCs/>
          <w:iCs/>
          <w:vertAlign w:val="superscript"/>
          <w:lang w:val="en-US"/>
        </w:rPr>
        <w:t>1</w:t>
      </w:r>
      <w:r w:rsidRPr="009507B6">
        <w:rPr>
          <w:bCs/>
          <w:iCs/>
          <w:lang w:val="en-US"/>
        </w:rPr>
        <w:t xml:space="preserve">nickiplatonov@gmail.com, </w:t>
      </w:r>
      <w:r w:rsidRPr="00A112BE">
        <w:rPr>
          <w:bCs/>
          <w:iCs/>
          <w:vertAlign w:val="superscript"/>
          <w:lang w:val="en-US"/>
        </w:rPr>
        <w:t>2</w:t>
      </w:r>
      <w:r w:rsidRPr="009507B6">
        <w:rPr>
          <w:bCs/>
          <w:iCs/>
          <w:lang w:val="en-US"/>
        </w:rPr>
        <w:t xml:space="preserve">lebedev_aa@npp-kvant.ru, </w:t>
      </w:r>
      <w:hyperlink r:id="rId10" w:history="1">
        <w:r w:rsidR="00A112BE" w:rsidRPr="000C1415">
          <w:rPr>
            <w:rStyle w:val="a8"/>
            <w:bCs/>
            <w:iCs/>
            <w:vertAlign w:val="superscript"/>
            <w:lang w:val="en-US"/>
          </w:rPr>
          <w:t>4</w:t>
        </w:r>
        <w:r w:rsidR="00A112BE" w:rsidRPr="000C1415">
          <w:rPr>
            <w:rStyle w:val="a8"/>
            <w:bCs/>
            <w:iCs/>
            <w:lang w:val="en-US"/>
          </w:rPr>
          <w:t>e.terukov@hevelsolar.com</w:t>
        </w:r>
      </w:hyperlink>
    </w:p>
    <w:p w:rsidR="001145BE" w:rsidRDefault="001145BE" w:rsidP="00543226">
      <w:pPr>
        <w:ind w:firstLine="709"/>
        <w:jc w:val="center"/>
        <w:rPr>
          <w:bCs/>
          <w:iCs/>
          <w:lang w:val="en-US"/>
        </w:rPr>
      </w:pPr>
    </w:p>
    <w:p w:rsidR="00A112BE" w:rsidRPr="00543226" w:rsidRDefault="00A112BE" w:rsidP="00543226">
      <w:pPr>
        <w:ind w:firstLine="709"/>
        <w:jc w:val="both"/>
        <w:rPr>
          <w:bCs/>
          <w:iCs/>
          <w:lang w:val="en-US"/>
        </w:rPr>
      </w:pPr>
      <w:r w:rsidRPr="00A112BE">
        <w:rPr>
          <w:b/>
          <w:iCs/>
          <w:lang w:val="en-US"/>
        </w:rPr>
        <w:t>Abstract:</w:t>
      </w:r>
      <w:r w:rsidRPr="00A112BE">
        <w:rPr>
          <w:bCs/>
          <w:iCs/>
          <w:lang w:val="en-US"/>
        </w:rPr>
        <w:t xml:space="preserve"> Semiconductor structures of modern micro- and optoelectronic devices contain layers several nanometers thick and the sizes of individual elements in them reach several tens of nanometers [1]. In this regard, the development and creation of new materials and structures for semiconductor electronics requires the corresponding development of accurate methods and means of controlling </w:t>
      </w:r>
      <w:r>
        <w:rPr>
          <w:bCs/>
          <w:iCs/>
          <w:lang w:val="en-US"/>
        </w:rPr>
        <w:t xml:space="preserve">electrical </w:t>
      </w:r>
      <w:r w:rsidRPr="00A112BE">
        <w:rPr>
          <w:bCs/>
          <w:iCs/>
          <w:lang w:val="en-US"/>
        </w:rPr>
        <w:t xml:space="preserve">parameters [2, 3]. The growing requirements for the characteristics of modern semiconductor devices, one of which is a multistage photoelectric converter (PVC) with an </w:t>
      </w:r>
      <w:proofErr w:type="spellStart"/>
      <w:r w:rsidRPr="00A112BE">
        <w:rPr>
          <w:bCs/>
          <w:iCs/>
          <w:lang w:val="en-US"/>
        </w:rPr>
        <w:t>InGaP</w:t>
      </w:r>
      <w:proofErr w:type="spellEnd"/>
      <w:r w:rsidRPr="00A112BE">
        <w:rPr>
          <w:bCs/>
          <w:iCs/>
          <w:lang w:val="en-US"/>
        </w:rPr>
        <w:t>/</w:t>
      </w:r>
      <w:proofErr w:type="spellStart"/>
      <w:r w:rsidRPr="00A112BE">
        <w:rPr>
          <w:bCs/>
          <w:iCs/>
          <w:lang w:val="en-US"/>
        </w:rPr>
        <w:t>InGaAs</w:t>
      </w:r>
      <w:proofErr w:type="spellEnd"/>
      <w:r w:rsidRPr="00A112BE">
        <w:rPr>
          <w:bCs/>
          <w:iCs/>
          <w:lang w:val="en-US"/>
        </w:rPr>
        <w:t>/Ge type heterostructure used as part of solar batteries in spacecraft power plants, encourages the improvement of methods for their creation and research.</w:t>
      </w:r>
      <w:r w:rsidR="00543226" w:rsidRPr="00543226">
        <w:rPr>
          <w:bCs/>
          <w:iCs/>
          <w:lang w:val="en-US"/>
        </w:rPr>
        <w:t xml:space="preserve"> </w:t>
      </w:r>
      <w:r w:rsidR="00543226" w:rsidRPr="00543226">
        <w:rPr>
          <w:bCs/>
          <w:iCs/>
          <w:lang w:val="en-US"/>
        </w:rPr>
        <w:t xml:space="preserve">At the same time, for photovoltaic converters (PVCs), the most efficient are multi-stage devices with an </w:t>
      </w:r>
      <w:proofErr w:type="spellStart"/>
      <w:r w:rsidR="00543226" w:rsidRPr="00543226">
        <w:rPr>
          <w:bCs/>
          <w:iCs/>
          <w:lang w:val="en-US"/>
        </w:rPr>
        <w:t>InGaP</w:t>
      </w:r>
      <w:proofErr w:type="spellEnd"/>
      <w:r w:rsidR="00543226" w:rsidRPr="00543226">
        <w:rPr>
          <w:bCs/>
          <w:iCs/>
          <w:lang w:val="en-US"/>
        </w:rPr>
        <w:t>/</w:t>
      </w:r>
      <w:proofErr w:type="spellStart"/>
      <w:r w:rsidR="00543226" w:rsidRPr="00543226">
        <w:rPr>
          <w:bCs/>
          <w:iCs/>
          <w:lang w:val="en-US"/>
        </w:rPr>
        <w:t>InGaAs</w:t>
      </w:r>
      <w:proofErr w:type="spellEnd"/>
      <w:r w:rsidR="00543226" w:rsidRPr="00543226">
        <w:rPr>
          <w:bCs/>
          <w:iCs/>
          <w:lang w:val="en-US"/>
        </w:rPr>
        <w:t>/Ge heterostructure, which are used as part of a solar battery as a primary energy source for powering spacecraft onboard equipment</w:t>
      </w:r>
      <w:r w:rsidR="00543226" w:rsidRPr="00543226">
        <w:rPr>
          <w:bCs/>
          <w:iCs/>
          <w:lang w:val="en-US"/>
        </w:rPr>
        <w:t>.</w:t>
      </w:r>
      <w:r w:rsidR="00543226" w:rsidRPr="00543226">
        <w:rPr>
          <w:bCs/>
          <w:iCs/>
          <w:lang w:val="en-US"/>
        </w:rPr>
        <w:t xml:space="preserve"> It is important to maintain the homogeneity of each of the thin layers of the structure over areas larger than 60 cm</w:t>
      </w:r>
      <w:r w:rsidR="00543226" w:rsidRPr="00543226">
        <w:rPr>
          <w:bCs/>
          <w:iCs/>
          <w:vertAlign w:val="superscript"/>
          <w:lang w:val="en-US"/>
        </w:rPr>
        <w:t>2</w:t>
      </w:r>
      <w:r w:rsidR="00543226" w:rsidRPr="00543226">
        <w:rPr>
          <w:bCs/>
          <w:iCs/>
          <w:lang w:val="en-US"/>
        </w:rPr>
        <w:t>. [</w:t>
      </w:r>
      <w:r w:rsidR="00543226" w:rsidRPr="00543226">
        <w:rPr>
          <w:bCs/>
          <w:iCs/>
          <w:lang w:val="en-US"/>
        </w:rPr>
        <w:t>4</w:t>
      </w:r>
      <w:r w:rsidR="00543226" w:rsidRPr="00543226">
        <w:rPr>
          <w:bCs/>
          <w:iCs/>
          <w:lang w:val="en-US"/>
        </w:rPr>
        <w:t>]</w:t>
      </w:r>
    </w:p>
    <w:p w:rsidR="00A112BE" w:rsidRDefault="00A112BE" w:rsidP="001145BE">
      <w:pPr>
        <w:ind w:firstLine="709"/>
        <w:jc w:val="both"/>
        <w:rPr>
          <w:bCs/>
          <w:iCs/>
          <w:lang w:val="en-US"/>
        </w:rPr>
      </w:pPr>
      <w:r w:rsidRPr="00A112BE">
        <w:rPr>
          <w:bCs/>
          <w:iCs/>
          <w:lang w:val="en-US"/>
        </w:rPr>
        <w:t xml:space="preserve">In this work, using the example of p- and n-doped </w:t>
      </w:r>
      <w:r w:rsidRPr="009507B6">
        <w:rPr>
          <w:lang w:val="en-US"/>
        </w:rPr>
        <w:t>In</w:t>
      </w:r>
      <w:r w:rsidRPr="009507B6">
        <w:rPr>
          <w:vertAlign w:val="subscript"/>
        </w:rPr>
        <w:t>0.01</w:t>
      </w:r>
      <w:r w:rsidRPr="009507B6">
        <w:rPr>
          <w:lang w:val="en-US"/>
        </w:rPr>
        <w:t>Ga</w:t>
      </w:r>
      <w:r w:rsidRPr="009507B6">
        <w:rPr>
          <w:vertAlign w:val="subscript"/>
        </w:rPr>
        <w:t>0.99</w:t>
      </w:r>
      <w:r w:rsidRPr="009507B6">
        <w:rPr>
          <w:lang w:val="en-US"/>
        </w:rPr>
        <w:t>As</w:t>
      </w:r>
      <w:r w:rsidRPr="00A112BE">
        <w:rPr>
          <w:bCs/>
          <w:iCs/>
          <w:lang w:val="en-US"/>
        </w:rPr>
        <w:t xml:space="preserve"> obtained by MOS-hydride epitaxy, we propose and test a method for studying the main electrical characteristics of epitaxial semiconductor layers, taking into account the need to assess their homogeneity on samples of a large area - for example, for photoelectric converters (PVC).</w:t>
      </w:r>
    </w:p>
    <w:p w:rsidR="00A112BE" w:rsidRDefault="00A112BE" w:rsidP="007912CB">
      <w:pPr>
        <w:spacing w:after="360"/>
        <w:ind w:firstLine="709"/>
        <w:jc w:val="both"/>
        <w:rPr>
          <w:bCs/>
          <w:iCs/>
          <w:lang w:val="en-US"/>
        </w:rPr>
      </w:pPr>
      <w:r w:rsidRPr="00A112BE">
        <w:rPr>
          <w:b/>
          <w:iCs/>
          <w:lang w:val="en-US"/>
        </w:rPr>
        <w:t>Keywords:</w:t>
      </w:r>
      <w:r w:rsidRPr="00A112BE">
        <w:rPr>
          <w:bCs/>
          <w:iCs/>
          <w:lang w:val="en-US"/>
        </w:rPr>
        <w:t xml:space="preserve"> photovoltaic converter (PEC), semiconductor layers, epitaxial layer (EP), resistivity, conductivity, majority charge carrier concentration (MCC), doping level.</w:t>
      </w:r>
    </w:p>
    <w:p w:rsidR="00153899" w:rsidRPr="00153899" w:rsidRDefault="00153899" w:rsidP="00543226">
      <w:pPr>
        <w:pStyle w:val="BodyText"/>
        <w:spacing w:before="0" w:after="36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53899">
        <w:rPr>
          <w:b/>
          <w:bCs/>
          <w:color w:val="000000" w:themeColor="text1"/>
          <w:sz w:val="28"/>
          <w:szCs w:val="28"/>
        </w:rPr>
        <w:t>Методика эксперимента</w:t>
      </w:r>
    </w:p>
    <w:p w:rsidR="00153899" w:rsidRPr="00153899" w:rsidRDefault="00153899" w:rsidP="00543226">
      <w:pPr>
        <w:pStyle w:val="BodyText"/>
        <w:spacing w:before="0" w:after="360"/>
        <w:ind w:firstLine="709"/>
        <w:jc w:val="both"/>
        <w:rPr>
          <w:color w:val="000000"/>
          <w:sz w:val="28"/>
          <w:szCs w:val="28"/>
        </w:rPr>
      </w:pPr>
      <w:r w:rsidRPr="00153899">
        <w:rPr>
          <w:color w:val="000000"/>
          <w:sz w:val="28"/>
          <w:szCs w:val="28"/>
        </w:rPr>
        <w:t xml:space="preserve">Методом </w:t>
      </w:r>
      <w:proofErr w:type="spellStart"/>
      <w:r w:rsidRPr="00153899">
        <w:rPr>
          <w:color w:val="000000"/>
          <w:sz w:val="28"/>
          <w:szCs w:val="28"/>
        </w:rPr>
        <w:t>газофазовой</w:t>
      </w:r>
      <w:proofErr w:type="spellEnd"/>
      <w:r w:rsidRPr="00153899">
        <w:rPr>
          <w:color w:val="000000"/>
          <w:sz w:val="28"/>
          <w:szCs w:val="28"/>
        </w:rPr>
        <w:t xml:space="preserve"> эпитаксии из металлоорганических и </w:t>
      </w:r>
      <w:proofErr w:type="spellStart"/>
      <w:r w:rsidRPr="00153899">
        <w:rPr>
          <w:color w:val="000000"/>
          <w:sz w:val="28"/>
          <w:szCs w:val="28"/>
        </w:rPr>
        <w:t>гидридных</w:t>
      </w:r>
      <w:proofErr w:type="spellEnd"/>
      <w:r w:rsidRPr="00153899">
        <w:rPr>
          <w:color w:val="000000"/>
          <w:sz w:val="28"/>
          <w:szCs w:val="28"/>
        </w:rPr>
        <w:t xml:space="preserve"> соединений (МОСГЭ) в вертикальном реакторе промышленного типа были выращены экспериментальные образцы двух серий: S-серии (3 шт. легированные </w:t>
      </w:r>
      <w:r w:rsidRPr="00153899">
        <w:rPr>
          <w:color w:val="000000"/>
          <w:sz w:val="28"/>
          <w:szCs w:val="28"/>
          <w:lang w:val="en-US"/>
        </w:rPr>
        <w:t>Si</w:t>
      </w:r>
      <w:r w:rsidRPr="00153899">
        <w:rPr>
          <w:color w:val="000000"/>
          <w:sz w:val="28"/>
          <w:szCs w:val="28"/>
        </w:rPr>
        <w:t>) и Z-сери</w:t>
      </w:r>
      <w:r w:rsidRPr="00153899">
        <w:rPr>
          <w:color w:val="000000"/>
          <w:sz w:val="28"/>
          <w:szCs w:val="28"/>
          <w:lang w:val="en-US"/>
        </w:rPr>
        <w:t>z</w:t>
      </w:r>
      <w:r w:rsidRPr="00153899">
        <w:rPr>
          <w:color w:val="000000"/>
          <w:sz w:val="28"/>
          <w:szCs w:val="28"/>
        </w:rPr>
        <w:t xml:space="preserve"> (6 шт. легированные </w:t>
      </w:r>
      <w:r w:rsidRPr="00153899">
        <w:rPr>
          <w:color w:val="000000"/>
          <w:sz w:val="28"/>
          <w:szCs w:val="28"/>
          <w:lang w:val="en-US"/>
        </w:rPr>
        <w:t>Zn</w:t>
      </w:r>
      <w:r w:rsidRPr="00153899">
        <w:rPr>
          <w:color w:val="000000"/>
          <w:sz w:val="28"/>
          <w:szCs w:val="28"/>
        </w:rPr>
        <w:t>). Образцы представляли собой следующую структуру: полупроводниковый слой из исследуемого материала (In</w:t>
      </w:r>
      <w:r w:rsidRPr="00153899">
        <w:rPr>
          <w:color w:val="000000"/>
          <w:sz w:val="28"/>
          <w:szCs w:val="28"/>
          <w:vertAlign w:val="subscript"/>
        </w:rPr>
        <w:t>0,01</w:t>
      </w:r>
      <w:r w:rsidRPr="00153899">
        <w:rPr>
          <w:color w:val="000000"/>
          <w:sz w:val="28"/>
          <w:szCs w:val="28"/>
        </w:rPr>
        <w:t>Ga</w:t>
      </w:r>
      <w:r w:rsidRPr="00153899">
        <w:rPr>
          <w:color w:val="000000"/>
          <w:sz w:val="28"/>
          <w:szCs w:val="28"/>
          <w:vertAlign w:val="subscript"/>
        </w:rPr>
        <w:t>0,99</w:t>
      </w:r>
      <w:r w:rsidRPr="00153899">
        <w:rPr>
          <w:color w:val="000000"/>
          <w:sz w:val="28"/>
          <w:szCs w:val="28"/>
        </w:rPr>
        <w:t>As) толщиной ~ 1,3 мкм с различным типом проводимости (n и p) и номинальными уровнями легирования 10</w:t>
      </w:r>
      <w:r w:rsidRPr="00153899">
        <w:rPr>
          <w:color w:val="000000"/>
          <w:sz w:val="28"/>
          <w:szCs w:val="28"/>
          <w:vertAlign w:val="superscript"/>
        </w:rPr>
        <w:t>16</w:t>
      </w:r>
      <w:r w:rsidRPr="00153899">
        <w:rPr>
          <w:color w:val="000000"/>
          <w:sz w:val="28"/>
          <w:szCs w:val="28"/>
        </w:rPr>
        <w:t>, 10</w:t>
      </w:r>
      <w:r w:rsidRPr="00153899">
        <w:rPr>
          <w:color w:val="000000"/>
          <w:sz w:val="28"/>
          <w:szCs w:val="28"/>
          <w:vertAlign w:val="superscript"/>
        </w:rPr>
        <w:t>17</w:t>
      </w:r>
      <w:r w:rsidRPr="00153899">
        <w:rPr>
          <w:color w:val="000000"/>
          <w:sz w:val="28"/>
          <w:szCs w:val="28"/>
        </w:rPr>
        <w:t>, 10</w:t>
      </w:r>
      <w:r w:rsidRPr="00153899">
        <w:rPr>
          <w:color w:val="000000"/>
          <w:sz w:val="28"/>
          <w:szCs w:val="28"/>
          <w:vertAlign w:val="superscript"/>
        </w:rPr>
        <w:t>18</w:t>
      </w:r>
      <w:r w:rsidRPr="00153899">
        <w:rPr>
          <w:color w:val="000000"/>
          <w:sz w:val="28"/>
          <w:szCs w:val="28"/>
        </w:rPr>
        <w:t xml:space="preserve"> см</w:t>
      </w:r>
      <w:r w:rsidRPr="00153899">
        <w:rPr>
          <w:color w:val="000000"/>
          <w:sz w:val="28"/>
          <w:szCs w:val="28"/>
          <w:vertAlign w:val="superscript"/>
        </w:rPr>
        <w:t>–3</w:t>
      </w:r>
      <w:r w:rsidRPr="00153899">
        <w:rPr>
          <w:color w:val="000000"/>
          <w:sz w:val="28"/>
          <w:szCs w:val="28"/>
        </w:rPr>
        <w:t xml:space="preserve">,  с подслоем из </w:t>
      </w:r>
      <w:proofErr w:type="spellStart"/>
      <w:r w:rsidRPr="00153899">
        <w:rPr>
          <w:color w:val="000000"/>
          <w:sz w:val="28"/>
          <w:szCs w:val="28"/>
        </w:rPr>
        <w:t>AlAs</w:t>
      </w:r>
      <w:proofErr w:type="spellEnd"/>
      <w:r w:rsidRPr="00153899">
        <w:rPr>
          <w:color w:val="000000"/>
          <w:sz w:val="28"/>
          <w:szCs w:val="28"/>
        </w:rPr>
        <w:t xml:space="preserve"> толщиной ~ 0,05 мкм, выращенные на </w:t>
      </w:r>
      <w:proofErr w:type="spellStart"/>
      <w:r w:rsidRPr="00153899">
        <w:rPr>
          <w:color w:val="000000"/>
          <w:sz w:val="28"/>
          <w:szCs w:val="28"/>
        </w:rPr>
        <w:t>полуизолирующих</w:t>
      </w:r>
      <w:proofErr w:type="spellEnd"/>
      <w:r w:rsidRPr="00153899">
        <w:rPr>
          <w:color w:val="000000"/>
          <w:sz w:val="28"/>
          <w:szCs w:val="28"/>
        </w:rPr>
        <w:t xml:space="preserve"> монокристаллических подложках арсенида галлия (100) толщиной 600 мкм. На первой стадии исследования с помощью метода бесконтактного измерения поверхностного сопротивления (БИПС) было определено значение удельного сопротивления σ, </w:t>
      </w:r>
      <w:proofErr w:type="spellStart"/>
      <w:r w:rsidRPr="00153899">
        <w:rPr>
          <w:color w:val="000000"/>
          <w:sz w:val="28"/>
          <w:szCs w:val="28"/>
        </w:rPr>
        <w:t>Ом⸱см</w:t>
      </w:r>
      <w:proofErr w:type="spellEnd"/>
      <w:r w:rsidRPr="00153899">
        <w:rPr>
          <w:color w:val="000000"/>
          <w:sz w:val="28"/>
          <w:szCs w:val="28"/>
        </w:rPr>
        <w:t xml:space="preserve"> (УС), его однородность по пластине и рассчитаны концентрации основных носителей заряда N, см</w:t>
      </w:r>
      <w:r w:rsidRPr="00153899">
        <w:rPr>
          <w:color w:val="000000"/>
          <w:sz w:val="28"/>
          <w:szCs w:val="28"/>
          <w:vertAlign w:val="superscript"/>
        </w:rPr>
        <w:t>-3</w:t>
      </w:r>
      <w:r w:rsidRPr="00153899">
        <w:rPr>
          <w:color w:val="000000"/>
          <w:sz w:val="28"/>
          <w:szCs w:val="28"/>
        </w:rPr>
        <w:t xml:space="preserve"> в исследуемых слоях. На второй стадии исследования были получены профили распределения основных носителей заряда (ОНЗ) в слоях структуры образцов, в результате травления на электрохимическом профилометре. На основе этих данных были определены концентрации легирующей примеси (</w:t>
      </w:r>
      <w:proofErr w:type="spellStart"/>
      <w:r w:rsidRPr="00153899">
        <w:rPr>
          <w:color w:val="000000"/>
          <w:sz w:val="28"/>
          <w:szCs w:val="28"/>
        </w:rPr>
        <w:t>Si</w:t>
      </w:r>
      <w:proofErr w:type="spellEnd"/>
      <w:r w:rsidRPr="00153899">
        <w:rPr>
          <w:color w:val="000000"/>
          <w:sz w:val="28"/>
          <w:szCs w:val="28"/>
        </w:rPr>
        <w:t xml:space="preserve"> и Zn) в каждом из образцов. На третьем этапе исследования была проведена пробоподготовка образцов для измерения эффекта Холла (ХЭ), проведение измерений и анализ результатов. Одна из пластин каждого вида (рисунок. 1) была порезана на образцы, размером (10 × 10) мм. Для возможности усреднения результатов и установления их корреляции с геометрией ростовой </w:t>
      </w:r>
      <w:r w:rsidRPr="00153899">
        <w:rPr>
          <w:color w:val="000000"/>
          <w:sz w:val="28"/>
          <w:szCs w:val="28"/>
        </w:rPr>
        <w:lastRenderedPageBreak/>
        <w:t xml:space="preserve">камеры было выбрано и измерено методом Ван дер </w:t>
      </w:r>
      <w:proofErr w:type="spellStart"/>
      <w:r w:rsidRPr="00153899">
        <w:rPr>
          <w:color w:val="000000"/>
          <w:sz w:val="28"/>
          <w:szCs w:val="28"/>
        </w:rPr>
        <w:t>Пау</w:t>
      </w:r>
      <w:proofErr w:type="spellEnd"/>
      <w:r w:rsidRPr="00153899">
        <w:rPr>
          <w:color w:val="000000"/>
          <w:sz w:val="28"/>
          <w:szCs w:val="28"/>
        </w:rPr>
        <w:t xml:space="preserve"> по 5 образцов с каждой пластины. Достоверность измерений подтверждена их многократным повторением.</w:t>
      </w:r>
    </w:p>
    <w:p w:rsidR="00153899" w:rsidRPr="002F539E" w:rsidRDefault="00153899" w:rsidP="00543226">
      <w:pPr>
        <w:pStyle w:val="BodyText"/>
        <w:spacing w:before="0" w:after="36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F539E">
        <w:rPr>
          <w:b/>
          <w:bCs/>
          <w:color w:val="000000" w:themeColor="text1"/>
          <w:sz w:val="28"/>
          <w:szCs w:val="28"/>
        </w:rPr>
        <w:t>Результаты</w:t>
      </w: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bCs/>
          <w:sz w:val="28"/>
          <w:szCs w:val="28"/>
          <w:lang w:val="ru-RU"/>
        </w:rPr>
      </w:pPr>
      <w:r w:rsidRPr="00153899">
        <w:rPr>
          <w:bCs/>
          <w:sz w:val="28"/>
          <w:szCs w:val="28"/>
          <w:lang w:val="ru-RU"/>
        </w:rPr>
        <w:t>В качестве основных результатов реализации предлагаемой методики исследования полупроводниковых слоев выступают зависимости удельной проводимости и концентрация основных носителей заряда исследуемых слоев от параметров газовой фазы, приведенные в таблице 1.</w:t>
      </w: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По данным из таблицы 1 были построены экспериментальные зависимости концентрации основных носителей заряда от количества легирующего прекурсора в газовой фазе. В случае легирования эпитаксиального слоя </w:t>
      </w:r>
      <w:r w:rsidRPr="00153899">
        <w:rPr>
          <w:sz w:val="28"/>
          <w:szCs w:val="28"/>
          <w:lang w:val="en-US"/>
        </w:rPr>
        <w:t>In</w:t>
      </w:r>
      <w:r w:rsidRPr="00153899">
        <w:rPr>
          <w:sz w:val="28"/>
          <w:szCs w:val="28"/>
          <w:vertAlign w:val="subscript"/>
          <w:lang w:val="ru-RU"/>
        </w:rPr>
        <w:t>0.01</w:t>
      </w:r>
      <w:r w:rsidRPr="00153899">
        <w:rPr>
          <w:sz w:val="28"/>
          <w:szCs w:val="28"/>
          <w:lang w:val="en-US"/>
        </w:rPr>
        <w:t>Ga</w:t>
      </w:r>
      <w:r w:rsidRPr="00153899">
        <w:rPr>
          <w:sz w:val="28"/>
          <w:szCs w:val="28"/>
          <w:vertAlign w:val="subscript"/>
          <w:lang w:val="ru-RU"/>
        </w:rPr>
        <w:t>0.99</w:t>
      </w:r>
      <w:r w:rsidRPr="00153899">
        <w:rPr>
          <w:sz w:val="28"/>
          <w:szCs w:val="28"/>
          <w:lang w:val="en-US"/>
        </w:rPr>
        <w:t>As</w:t>
      </w:r>
      <w:r w:rsidRPr="00153899">
        <w:rPr>
          <w:sz w:val="28"/>
          <w:szCs w:val="28"/>
          <w:lang w:val="ru-RU"/>
        </w:rPr>
        <w:t xml:space="preserve"> кремнием, все три метода определения концентрации (ХЭ, БИПС и ЭХП) позволяют получить схожую зависимость. Зависимость удельной проводимости для образцов </w:t>
      </w:r>
      <w:r w:rsidRPr="00153899">
        <w:rPr>
          <w:sz w:val="28"/>
          <w:szCs w:val="28"/>
          <w:lang w:val="en-US"/>
        </w:rPr>
        <w:t>S</w:t>
      </w:r>
      <w:r w:rsidRPr="00153899">
        <w:rPr>
          <w:sz w:val="28"/>
          <w:szCs w:val="28"/>
          <w:lang w:val="ru-RU"/>
        </w:rPr>
        <w:t>1-</w:t>
      </w:r>
      <w:r w:rsidRPr="00153899">
        <w:rPr>
          <w:sz w:val="28"/>
          <w:szCs w:val="28"/>
          <w:lang w:val="en-US"/>
        </w:rPr>
        <w:t>S</w:t>
      </w:r>
      <w:r w:rsidRPr="00153899">
        <w:rPr>
          <w:sz w:val="28"/>
          <w:szCs w:val="28"/>
          <w:lang w:val="ru-RU"/>
        </w:rPr>
        <w:t>3 линейно растет с ростом концентрации легирующего компонента (</w:t>
      </w:r>
      <w:proofErr w:type="spellStart"/>
      <w:r w:rsidRPr="00153899">
        <w:rPr>
          <w:sz w:val="28"/>
          <w:szCs w:val="28"/>
          <w:lang w:val="ru-RU"/>
        </w:rPr>
        <w:t>дисилана</w:t>
      </w:r>
      <w:proofErr w:type="spellEnd"/>
      <w:r w:rsidRPr="00153899">
        <w:rPr>
          <w:sz w:val="28"/>
          <w:szCs w:val="28"/>
          <w:lang w:val="ru-RU"/>
        </w:rPr>
        <w:t xml:space="preserve"> </w:t>
      </w:r>
      <w:r w:rsidRPr="00153899">
        <w:rPr>
          <w:sz w:val="28"/>
          <w:szCs w:val="28"/>
          <w:lang w:val="en-US"/>
        </w:rPr>
        <w:t>DSi</w:t>
      </w:r>
      <w:r w:rsidRPr="00153899">
        <w:rPr>
          <w:sz w:val="28"/>
          <w:szCs w:val="28"/>
          <w:lang w:val="ru-RU"/>
        </w:rPr>
        <w:t xml:space="preserve">) в газовой фазе и имеет хорошее совпадение по двум методам (БИПС и Ван дер </w:t>
      </w:r>
      <w:proofErr w:type="spellStart"/>
      <w:r w:rsidRPr="00153899">
        <w:rPr>
          <w:sz w:val="28"/>
          <w:szCs w:val="28"/>
          <w:lang w:val="ru-RU"/>
        </w:rPr>
        <w:t>Пау</w:t>
      </w:r>
      <w:proofErr w:type="spellEnd"/>
      <w:r w:rsidRPr="00153899">
        <w:rPr>
          <w:sz w:val="28"/>
          <w:szCs w:val="28"/>
          <w:lang w:val="ru-RU"/>
        </w:rPr>
        <w:t xml:space="preserve">). В зависимости от прекурсора, вид линейной зависимости меняется. </w:t>
      </w:r>
    </w:p>
    <w:p w:rsidR="00A112BE" w:rsidRDefault="00153899" w:rsidP="007912CB">
      <w:pPr>
        <w:spacing w:after="360" w:line="240" w:lineRule="atLeast"/>
        <w:ind w:firstLine="284"/>
        <w:jc w:val="right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>Таблица 1</w:t>
      </w:r>
    </w:p>
    <w:p w:rsidR="00153899" w:rsidRPr="00153899" w:rsidRDefault="00153899" w:rsidP="00543226">
      <w:pPr>
        <w:spacing w:after="360" w:line="240" w:lineRule="atLeast"/>
        <w:ind w:firstLine="709"/>
        <w:jc w:val="center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Параметры газовой фазы в сопоставлении с </w:t>
      </w:r>
      <w:r w:rsidRPr="00153899">
        <w:rPr>
          <w:color w:val="000000"/>
          <w:sz w:val="28"/>
          <w:szCs w:val="28"/>
          <w:shd w:val="clear" w:color="auto" w:fill="FFFFFF"/>
          <w:lang w:val="ru-RU"/>
        </w:rPr>
        <w:t xml:space="preserve">определенной </w:t>
      </w:r>
      <w:r w:rsidRPr="00153899">
        <w:rPr>
          <w:sz w:val="28"/>
          <w:szCs w:val="28"/>
          <w:lang w:val="ru-RU"/>
        </w:rPr>
        <w:t>разными методами концентрацией основных носителей заряда в эпитаксиальных слоях</w:t>
      </w:r>
    </w:p>
    <w:tbl>
      <w:tblPr>
        <w:tblW w:w="487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2299"/>
        <w:gridCol w:w="1589"/>
        <w:gridCol w:w="1841"/>
        <w:gridCol w:w="1979"/>
      </w:tblGrid>
      <w:tr w:rsidR="00153899" w:rsidRPr="007912CB" w:rsidTr="00E67A43">
        <w:trPr>
          <w:trHeight w:val="143"/>
        </w:trPr>
        <w:tc>
          <w:tcPr>
            <w:tcW w:w="576" w:type="pct"/>
            <w:vMerge w:val="restart"/>
            <w:vAlign w:val="center"/>
          </w:tcPr>
          <w:p w:rsidR="00153899" w:rsidRPr="00A112BE" w:rsidRDefault="00153899" w:rsidP="007912CB">
            <w:pPr>
              <w:spacing w:line="240" w:lineRule="atLeast"/>
              <w:jc w:val="center"/>
            </w:pPr>
            <w:proofErr w:type="spellStart"/>
            <w:r w:rsidRPr="00A112BE">
              <w:t>Образцы</w:t>
            </w:r>
            <w:proofErr w:type="spellEnd"/>
          </w:p>
        </w:tc>
        <w:tc>
          <w:tcPr>
            <w:tcW w:w="1317" w:type="pct"/>
            <w:vMerge w:val="restar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lang w:val="ru-RU"/>
              </w:rPr>
            </w:pPr>
            <w:r w:rsidRPr="00A112BE">
              <w:rPr>
                <w:lang w:val="ru-RU"/>
              </w:rPr>
              <w:t>Концентрация легирующего компонента в газовой фазе, см</w:t>
            </w:r>
            <w:r w:rsidRPr="00A112BE">
              <w:rPr>
                <w:vertAlign w:val="superscript"/>
                <w:lang w:val="ru-RU"/>
              </w:rPr>
              <w:t>-3</w:t>
            </w:r>
          </w:p>
        </w:tc>
        <w:tc>
          <w:tcPr>
            <w:tcW w:w="3107" w:type="pct"/>
            <w:gridSpan w:val="3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vertAlign w:val="superscript"/>
                <w:lang w:val="ru-RU"/>
              </w:rPr>
            </w:pPr>
            <w:r w:rsidRPr="00A112BE">
              <w:rPr>
                <w:lang w:val="ru-RU"/>
              </w:rPr>
              <w:t xml:space="preserve">Измеренная концентрация основных носителей заряда </w:t>
            </w:r>
            <w:r w:rsidRPr="00A112BE">
              <w:rPr>
                <w:i/>
                <w:lang w:val="en-US"/>
              </w:rPr>
              <w:t>N</w:t>
            </w:r>
            <w:r w:rsidRPr="00A112BE">
              <w:rPr>
                <w:i/>
                <w:vertAlign w:val="subscript"/>
                <w:lang w:val="ru-RU"/>
              </w:rPr>
              <w:t>изм</w:t>
            </w:r>
            <w:r w:rsidRPr="00A112BE">
              <w:rPr>
                <w:i/>
                <w:lang w:val="ru-RU"/>
              </w:rPr>
              <w:t xml:space="preserve"> </w:t>
            </w:r>
            <w:r w:rsidRPr="00A112BE">
              <w:rPr>
                <w:lang w:val="ru-RU"/>
              </w:rPr>
              <w:t>(по маленьким образцам) разными методами в твердом теле</w:t>
            </w:r>
          </w:p>
        </w:tc>
      </w:tr>
      <w:tr w:rsidR="00153899" w:rsidRPr="00153899" w:rsidTr="00E67A43">
        <w:trPr>
          <w:trHeight w:val="48"/>
        </w:trPr>
        <w:tc>
          <w:tcPr>
            <w:tcW w:w="576" w:type="pct"/>
            <w:vMerge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ru-RU"/>
              </w:rPr>
            </w:pPr>
          </w:p>
        </w:tc>
        <w:tc>
          <w:tcPr>
            <w:tcW w:w="1317" w:type="pct"/>
            <w:vMerge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rPr>
                <w:b/>
                <w:bCs/>
                <w:i/>
                <w:lang w:val="en-US"/>
              </w:rPr>
              <w:t>N</w:t>
            </w:r>
            <w:proofErr w:type="spellStart"/>
            <w:r w:rsidRPr="00A112BE">
              <w:rPr>
                <w:b/>
                <w:bCs/>
                <w:i/>
                <w:vertAlign w:val="subscript"/>
              </w:rPr>
              <w:t>изм</w:t>
            </w:r>
            <w:proofErr w:type="spellEnd"/>
            <w:r w:rsidRPr="00A112BE">
              <w:rPr>
                <w:lang w:val="en-US"/>
              </w:rPr>
              <w:t xml:space="preserve"> </w:t>
            </w:r>
            <w:proofErr w:type="spellStart"/>
            <w:r w:rsidRPr="00A112BE">
              <w:t>по</w:t>
            </w:r>
            <w:proofErr w:type="spellEnd"/>
            <w:r w:rsidRPr="00A112BE">
              <w:t xml:space="preserve"> ХЭ, см</w:t>
            </w:r>
            <w:r w:rsidRPr="00A112BE">
              <w:rPr>
                <w:vertAlign w:val="superscript"/>
              </w:rPr>
              <w:t>-3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rPr>
                <w:b/>
                <w:bCs/>
                <w:i/>
                <w:lang w:val="en-US"/>
              </w:rPr>
              <w:t>N</w:t>
            </w:r>
            <w:proofErr w:type="spellStart"/>
            <w:r w:rsidRPr="00A112BE">
              <w:rPr>
                <w:b/>
                <w:bCs/>
                <w:i/>
                <w:vertAlign w:val="subscript"/>
              </w:rPr>
              <w:t>изм</w:t>
            </w:r>
            <w:proofErr w:type="spellEnd"/>
            <w:r w:rsidRPr="00A112BE">
              <w:rPr>
                <w:b/>
                <w:bCs/>
              </w:rPr>
              <w:t xml:space="preserve"> </w:t>
            </w:r>
            <w:proofErr w:type="spellStart"/>
            <w:r w:rsidRPr="00A112BE">
              <w:t>по</w:t>
            </w:r>
            <w:proofErr w:type="spellEnd"/>
            <w:r w:rsidRPr="00A112BE">
              <w:t xml:space="preserve"> ЭХП, см</w:t>
            </w:r>
            <w:r w:rsidRPr="00A112BE">
              <w:rPr>
                <w:vertAlign w:val="superscript"/>
              </w:rPr>
              <w:t>-3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rPr>
                <w:b/>
                <w:bCs/>
                <w:i/>
                <w:lang w:val="en-US"/>
              </w:rPr>
              <w:t>N</w:t>
            </w:r>
            <w:proofErr w:type="spellStart"/>
            <w:r w:rsidRPr="00A112BE">
              <w:rPr>
                <w:b/>
                <w:bCs/>
                <w:i/>
                <w:vertAlign w:val="subscript"/>
              </w:rPr>
              <w:t>изм</w:t>
            </w:r>
            <w:proofErr w:type="spellEnd"/>
            <w:r w:rsidRPr="00A112BE">
              <w:rPr>
                <w:b/>
                <w:bCs/>
              </w:rPr>
              <w:t xml:space="preserve"> </w:t>
            </w:r>
            <w:proofErr w:type="spellStart"/>
            <w:r w:rsidRPr="00A112BE">
              <w:t>по</w:t>
            </w:r>
            <w:proofErr w:type="spellEnd"/>
            <w:r w:rsidRPr="00A112BE">
              <w:t xml:space="preserve"> БИПС, см</w:t>
            </w:r>
            <w:r w:rsidRPr="00A112BE">
              <w:rPr>
                <w:vertAlign w:val="superscript"/>
              </w:rPr>
              <w:t>-3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S1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5</w:t>
            </w:r>
            <w:r w:rsidRPr="00A112BE">
              <w:rPr>
                <w:lang w:val="en-US"/>
              </w:rPr>
              <w:t>,</w:t>
            </w:r>
            <w:r w:rsidRPr="00A112BE">
              <w:t>28∙10</w:t>
            </w:r>
            <w:r w:rsidRPr="00A112BE">
              <w:rPr>
                <w:vertAlign w:val="superscript"/>
              </w:rPr>
              <w:t>19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vertAlign w:val="superscript"/>
              </w:rPr>
            </w:pPr>
            <w:r w:rsidRPr="00A112BE">
              <w:t>6,87∙10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5</w:t>
            </w:r>
            <w:r w:rsidRPr="00A112BE">
              <w:rPr>
                <w:lang w:val="en-US"/>
              </w:rPr>
              <w:t>,57∙</w:t>
            </w:r>
            <w:r w:rsidRPr="00A112BE">
              <w:t>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7,03∙10</w:t>
            </w:r>
            <w:r w:rsidRPr="00A112BE">
              <w:rPr>
                <w:vertAlign w:val="superscript"/>
              </w:rPr>
              <w:t>18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S2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rPr>
                <w:lang w:val="en-US"/>
              </w:rPr>
              <w:t>1,</w:t>
            </w:r>
            <w:r w:rsidRPr="00A112BE">
              <w:t>17∙10</w:t>
            </w:r>
            <w:r w:rsidRPr="00A112BE">
              <w:rPr>
                <w:vertAlign w:val="superscript"/>
              </w:rPr>
              <w:t>19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1,63∙10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lang w:val="en-US"/>
              </w:rPr>
            </w:pPr>
            <w:r w:rsidRPr="00A112BE">
              <w:rPr>
                <w:lang w:val="en-US"/>
              </w:rPr>
              <w:t>1,37∙</w:t>
            </w:r>
            <w:r w:rsidRPr="00A112BE">
              <w:t>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1,65∙10</w:t>
            </w:r>
            <w:r w:rsidRPr="00A112BE">
              <w:rPr>
                <w:vertAlign w:val="superscript"/>
              </w:rPr>
              <w:t>18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S3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5</w:t>
            </w:r>
            <w:r w:rsidRPr="00A112BE">
              <w:rPr>
                <w:lang w:val="en-US"/>
              </w:rPr>
              <w:t>,</w:t>
            </w:r>
            <w:r w:rsidRPr="00A112BE">
              <w:t>87∙10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8,89∙10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lang w:val="en-US"/>
              </w:rPr>
            </w:pPr>
            <w:r w:rsidRPr="00A112BE">
              <w:rPr>
                <w:lang w:val="en-US"/>
              </w:rPr>
              <w:t>7,43∙</w:t>
            </w:r>
            <w:r w:rsidRPr="00A112BE">
              <w:t>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9,44∙10</w:t>
            </w:r>
            <w:r w:rsidRPr="00A112BE">
              <w:rPr>
                <w:vertAlign w:val="superscript"/>
              </w:rPr>
              <w:t>17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Z1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rPr>
                <w:lang w:val="en-US"/>
              </w:rPr>
              <w:t>1,</w:t>
            </w:r>
            <w:r w:rsidRPr="00A112BE">
              <w:t>15∙10</w:t>
            </w:r>
            <w:r w:rsidRPr="00A112BE">
              <w:rPr>
                <w:vertAlign w:val="superscript"/>
              </w:rPr>
              <w:t>19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1,22∙10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-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1,84∙10</w:t>
            </w:r>
            <w:r w:rsidRPr="00A112BE">
              <w:rPr>
                <w:vertAlign w:val="superscript"/>
              </w:rPr>
              <w:t>17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Z2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4,30∙10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6,49∙10</w:t>
            </w:r>
            <w:r w:rsidRPr="00A112BE">
              <w:rPr>
                <w:vertAlign w:val="superscript"/>
              </w:rPr>
              <w:t>16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-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1,04∙10</w:t>
            </w:r>
            <w:r w:rsidRPr="00A112BE">
              <w:rPr>
                <w:vertAlign w:val="superscript"/>
              </w:rPr>
              <w:t>17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Z3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2,91∙10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2,34∙10</w:t>
            </w:r>
            <w:r w:rsidRPr="00A112BE">
              <w:rPr>
                <w:vertAlign w:val="superscript"/>
              </w:rPr>
              <w:t>15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-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6,05∙10</w:t>
            </w:r>
            <w:r w:rsidRPr="00A112BE">
              <w:rPr>
                <w:vertAlign w:val="superscript"/>
              </w:rPr>
              <w:t>16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Z4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rPr>
                <w:lang w:val="en-US"/>
              </w:rPr>
              <w:t>1,</w:t>
            </w:r>
            <w:r w:rsidRPr="00A112BE">
              <w:t>15∙10</w:t>
            </w:r>
            <w:r w:rsidRPr="00A112BE">
              <w:rPr>
                <w:vertAlign w:val="superscript"/>
              </w:rPr>
              <w:t>19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1,21∙10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lang w:val="en-US"/>
              </w:rPr>
            </w:pPr>
            <w:r w:rsidRPr="00A112BE">
              <w:rPr>
                <w:lang w:val="en-US"/>
              </w:rPr>
              <w:t>1,58∙</w:t>
            </w:r>
            <w:r w:rsidRPr="00A112BE">
              <w:t>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2,30∙10</w:t>
            </w:r>
            <w:r w:rsidRPr="00A112BE">
              <w:rPr>
                <w:vertAlign w:val="superscript"/>
              </w:rPr>
              <w:t>17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Z5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4,30∙10</w:t>
            </w:r>
            <w:r w:rsidRPr="00A112BE">
              <w:rPr>
                <w:vertAlign w:val="superscript"/>
              </w:rPr>
              <w:t>18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2,88∙10</w:t>
            </w:r>
            <w:r w:rsidRPr="00A112BE">
              <w:rPr>
                <w:vertAlign w:val="superscript"/>
              </w:rPr>
              <w:t>16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lang w:val="en-US"/>
              </w:rPr>
            </w:pPr>
            <w:r w:rsidRPr="00A112BE">
              <w:rPr>
                <w:lang w:val="en-US"/>
              </w:rPr>
              <w:t>5,36∙</w:t>
            </w:r>
            <w:r w:rsidRPr="00A112BE">
              <w:t>10</w:t>
            </w:r>
            <w:r w:rsidRPr="00A112BE">
              <w:rPr>
                <w:vertAlign w:val="superscript"/>
              </w:rPr>
              <w:t>16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1,54∙10</w:t>
            </w:r>
            <w:r w:rsidRPr="00A112BE">
              <w:rPr>
                <w:vertAlign w:val="superscript"/>
              </w:rPr>
              <w:t>17</w:t>
            </w:r>
          </w:p>
        </w:tc>
      </w:tr>
      <w:tr w:rsidR="00153899" w:rsidRPr="00153899" w:rsidTr="00E67A43">
        <w:trPr>
          <w:trHeight w:val="46"/>
        </w:trPr>
        <w:tc>
          <w:tcPr>
            <w:tcW w:w="576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rPr>
                <w:lang w:val="en-US"/>
              </w:rPr>
            </w:pPr>
            <w:r w:rsidRPr="00A112BE">
              <w:rPr>
                <w:lang w:val="en-US"/>
              </w:rPr>
              <w:t>Z6</w:t>
            </w:r>
          </w:p>
        </w:tc>
        <w:tc>
          <w:tcPr>
            <w:tcW w:w="131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2,91∙10</w:t>
            </w:r>
            <w:r w:rsidRPr="00A112BE">
              <w:rPr>
                <w:vertAlign w:val="superscript"/>
              </w:rPr>
              <w:t>17</w:t>
            </w:r>
          </w:p>
        </w:tc>
        <w:tc>
          <w:tcPr>
            <w:tcW w:w="915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3,27∙10</w:t>
            </w:r>
            <w:r w:rsidRPr="00A112BE">
              <w:rPr>
                <w:vertAlign w:val="superscript"/>
              </w:rPr>
              <w:t>15</w:t>
            </w:r>
          </w:p>
        </w:tc>
        <w:tc>
          <w:tcPr>
            <w:tcW w:w="1057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  <w:rPr>
                <w:lang w:val="en-US"/>
              </w:rPr>
            </w:pPr>
            <w:r w:rsidRPr="00A112BE">
              <w:rPr>
                <w:lang w:val="en-US"/>
              </w:rPr>
              <w:t>3,67∙</w:t>
            </w:r>
            <w:r w:rsidRPr="00A112BE">
              <w:t>10</w:t>
            </w:r>
            <w:r w:rsidRPr="00A112BE">
              <w:rPr>
                <w:vertAlign w:val="superscript"/>
              </w:rPr>
              <w:t>15</w:t>
            </w:r>
          </w:p>
        </w:tc>
        <w:tc>
          <w:tcPr>
            <w:tcW w:w="1134" w:type="pct"/>
            <w:vAlign w:val="center"/>
          </w:tcPr>
          <w:p w:rsidR="00153899" w:rsidRPr="00A112BE" w:rsidRDefault="00153899" w:rsidP="007912CB">
            <w:pPr>
              <w:spacing w:line="240" w:lineRule="atLeast"/>
              <w:ind w:firstLine="284"/>
              <w:jc w:val="center"/>
            </w:pPr>
            <w:r w:rsidRPr="00A112BE">
              <w:t>1,33∙10</w:t>
            </w:r>
            <w:r w:rsidRPr="00A112BE">
              <w:rPr>
                <w:vertAlign w:val="superscript"/>
              </w:rPr>
              <w:t>17</w:t>
            </w:r>
          </w:p>
        </w:tc>
      </w:tr>
    </w:tbl>
    <w:p w:rsidR="001145BE" w:rsidRDefault="001145BE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Так, при увеличении концентрации легирующего прекурсора </w:t>
      </w:r>
      <w:r w:rsidRPr="00153899">
        <w:rPr>
          <w:sz w:val="28"/>
          <w:szCs w:val="28"/>
          <w:lang w:val="en-US"/>
        </w:rPr>
        <w:t>Zn</w:t>
      </w:r>
      <w:r w:rsidRPr="00153899">
        <w:rPr>
          <w:sz w:val="28"/>
          <w:szCs w:val="28"/>
          <w:lang w:val="ru-RU"/>
        </w:rPr>
        <w:t xml:space="preserve"> в газовом потоке, линейно увеличивается и концентрация легирующего </w:t>
      </w:r>
      <w:r w:rsidRPr="00153899">
        <w:rPr>
          <w:sz w:val="28"/>
          <w:szCs w:val="28"/>
          <w:lang w:val="ru-RU"/>
        </w:rPr>
        <w:lastRenderedPageBreak/>
        <w:t>компонента в твердой фазе. Несмотря на то, что между методами ХЭ, БИПС и ЭХП имеется довольно широкий разброс, в масштабах больших концентраций при сравнении с литературными данными [</w:t>
      </w:r>
      <w:r w:rsidR="00543226">
        <w:rPr>
          <w:sz w:val="28"/>
          <w:szCs w:val="28"/>
          <w:lang w:val="ru-RU"/>
        </w:rPr>
        <w:t>5</w:t>
      </w:r>
      <w:r w:rsidRPr="00153899">
        <w:rPr>
          <w:sz w:val="28"/>
          <w:szCs w:val="28"/>
          <w:lang w:val="ru-RU"/>
        </w:rPr>
        <w:t xml:space="preserve">]. В связи с этим, большую ошибку экспериментальных данных для образцов </w:t>
      </w:r>
      <w:r w:rsidRPr="00153899">
        <w:rPr>
          <w:sz w:val="28"/>
          <w:szCs w:val="28"/>
          <w:lang w:val="en-US"/>
        </w:rPr>
        <w:t>Z</w:t>
      </w:r>
      <w:r w:rsidRPr="00153899">
        <w:rPr>
          <w:sz w:val="28"/>
          <w:szCs w:val="28"/>
          <w:lang w:val="ru-RU"/>
        </w:rPr>
        <w:t>-серии можно объяснить узким диапазоном исследуемых концентраций ОНЗ.</w:t>
      </w:r>
    </w:p>
    <w:p w:rsidR="00153899" w:rsidRPr="002F539E" w:rsidRDefault="00153899" w:rsidP="00543226">
      <w:pPr>
        <w:spacing w:after="360" w:line="240" w:lineRule="atLeast"/>
        <w:ind w:firstLine="709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2F539E">
        <w:rPr>
          <w:b/>
          <w:bCs/>
          <w:color w:val="000000" w:themeColor="text1"/>
          <w:sz w:val="28"/>
          <w:szCs w:val="28"/>
          <w:lang w:val="ru-RU"/>
        </w:rPr>
        <w:t>Выводы</w:t>
      </w: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Линейные зависимости, построенные по трем разным методам: Ван дер </w:t>
      </w:r>
      <w:proofErr w:type="spellStart"/>
      <w:r w:rsidRPr="00153899">
        <w:rPr>
          <w:sz w:val="28"/>
          <w:szCs w:val="28"/>
          <w:lang w:val="ru-RU"/>
        </w:rPr>
        <w:t>Пау</w:t>
      </w:r>
      <w:proofErr w:type="spellEnd"/>
      <w:r w:rsidRPr="00153899">
        <w:rPr>
          <w:sz w:val="28"/>
          <w:szCs w:val="28"/>
          <w:lang w:val="ru-RU"/>
        </w:rPr>
        <w:t xml:space="preserve">, БИПС и ЭХП для образцов </w:t>
      </w:r>
      <w:r w:rsidRPr="00153899">
        <w:rPr>
          <w:sz w:val="28"/>
          <w:szCs w:val="28"/>
          <w:lang w:val="en-US"/>
        </w:rPr>
        <w:t>S</w:t>
      </w:r>
      <w:r w:rsidRPr="00153899">
        <w:rPr>
          <w:sz w:val="28"/>
          <w:szCs w:val="28"/>
          <w:lang w:val="ru-RU"/>
        </w:rPr>
        <w:t xml:space="preserve">-серии, легированных </w:t>
      </w:r>
      <w:r w:rsidRPr="00153899">
        <w:rPr>
          <w:sz w:val="28"/>
          <w:szCs w:val="28"/>
          <w:lang w:val="en-US"/>
        </w:rPr>
        <w:t>Si</w:t>
      </w:r>
      <w:r w:rsidRPr="00153899">
        <w:rPr>
          <w:sz w:val="28"/>
          <w:szCs w:val="28"/>
          <w:lang w:val="ru-RU"/>
        </w:rPr>
        <w:t>, довольно хорошо сходятся. В диапазоне концентраций в газовой фазе 5,87</w:t>
      </w:r>
      <w:r w:rsidRPr="00153899">
        <w:rPr>
          <w:sz w:val="28"/>
          <w:szCs w:val="28"/>
        </w:rPr>
        <w:t>⸱</w:t>
      </w:r>
      <w:r w:rsidRPr="00153899">
        <w:rPr>
          <w:sz w:val="28"/>
          <w:szCs w:val="28"/>
          <w:lang w:val="ru-RU"/>
        </w:rPr>
        <w:t>10</w:t>
      </w:r>
      <w:r w:rsidRPr="00153899">
        <w:rPr>
          <w:sz w:val="28"/>
          <w:szCs w:val="28"/>
          <w:vertAlign w:val="superscript"/>
          <w:lang w:val="ru-RU"/>
        </w:rPr>
        <w:t xml:space="preserve">18 </w:t>
      </w:r>
      <w:r w:rsidRPr="00153899">
        <w:rPr>
          <w:sz w:val="28"/>
          <w:szCs w:val="28"/>
          <w:lang w:val="ru-RU"/>
        </w:rPr>
        <w:t>÷ 5,28</w:t>
      </w:r>
      <w:r w:rsidRPr="00153899">
        <w:rPr>
          <w:sz w:val="28"/>
          <w:szCs w:val="28"/>
        </w:rPr>
        <w:t>⸱</w:t>
      </w:r>
      <w:r w:rsidRPr="00153899">
        <w:rPr>
          <w:sz w:val="28"/>
          <w:szCs w:val="28"/>
          <w:lang w:val="ru-RU"/>
        </w:rPr>
        <w:t>10</w:t>
      </w:r>
      <w:r w:rsidRPr="00153899">
        <w:rPr>
          <w:sz w:val="28"/>
          <w:szCs w:val="28"/>
          <w:vertAlign w:val="superscript"/>
          <w:lang w:val="ru-RU"/>
        </w:rPr>
        <w:t>19</w:t>
      </w:r>
      <w:r w:rsidRPr="00153899">
        <w:rPr>
          <w:sz w:val="28"/>
          <w:szCs w:val="28"/>
        </w:rPr>
        <w:t> </w:t>
      </w:r>
      <w:r w:rsidRPr="00153899">
        <w:rPr>
          <w:sz w:val="28"/>
          <w:szCs w:val="28"/>
          <w:lang w:val="ru-RU"/>
        </w:rPr>
        <w:t>см</w:t>
      </w:r>
      <w:r w:rsidRPr="00153899">
        <w:rPr>
          <w:sz w:val="28"/>
          <w:szCs w:val="28"/>
          <w:vertAlign w:val="superscript"/>
          <w:lang w:val="ru-RU"/>
        </w:rPr>
        <w:t>-3</w:t>
      </w:r>
      <w:r w:rsidRPr="00153899">
        <w:rPr>
          <w:sz w:val="28"/>
          <w:szCs w:val="28"/>
          <w:lang w:val="ru-RU"/>
        </w:rPr>
        <w:t xml:space="preserve"> методы БИПС и ЭХП имеют относительные отклонения 3,1 % (для БИПС) и 17,1 % (для ЭХП) от результатов, полученных методом ХЭ. Методы БИПС и ХЭ дают максимальное совпадение между собой. </w:t>
      </w: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Результаты, полученные для образцов серии </w:t>
      </w:r>
      <w:r w:rsidRPr="00153899">
        <w:rPr>
          <w:sz w:val="28"/>
          <w:szCs w:val="28"/>
          <w:lang w:val="en-US"/>
        </w:rPr>
        <w:t>Z</w:t>
      </w:r>
      <w:r w:rsidRPr="00153899">
        <w:rPr>
          <w:sz w:val="28"/>
          <w:szCs w:val="28"/>
          <w:lang w:val="ru-RU"/>
        </w:rPr>
        <w:t xml:space="preserve">, имеют куда большее отклонение. В диапазоне концентраций </w:t>
      </w:r>
      <w:r w:rsidRPr="00153899">
        <w:rPr>
          <w:sz w:val="28"/>
          <w:szCs w:val="28"/>
          <w:lang w:val="en-US"/>
        </w:rPr>
        <w:t>Zn</w:t>
      </w:r>
      <w:r w:rsidRPr="00153899">
        <w:rPr>
          <w:sz w:val="28"/>
          <w:szCs w:val="28"/>
          <w:lang w:val="ru-RU"/>
        </w:rPr>
        <w:t xml:space="preserve"> в газовой фазе 1,15</w:t>
      </w:r>
      <w:r w:rsidRPr="00153899">
        <w:rPr>
          <w:sz w:val="28"/>
          <w:szCs w:val="28"/>
        </w:rPr>
        <w:t>⸱</w:t>
      </w:r>
      <w:r w:rsidRPr="00153899">
        <w:rPr>
          <w:sz w:val="28"/>
          <w:szCs w:val="28"/>
          <w:lang w:val="ru-RU"/>
        </w:rPr>
        <w:t>10</w:t>
      </w:r>
      <w:r w:rsidRPr="00153899">
        <w:rPr>
          <w:sz w:val="28"/>
          <w:szCs w:val="28"/>
          <w:vertAlign w:val="superscript"/>
          <w:lang w:val="ru-RU"/>
        </w:rPr>
        <w:t xml:space="preserve">17 </w:t>
      </w:r>
      <w:r w:rsidRPr="00153899">
        <w:rPr>
          <w:sz w:val="28"/>
          <w:szCs w:val="28"/>
          <w:lang w:val="ru-RU"/>
        </w:rPr>
        <w:t>÷ 2,91</w:t>
      </w:r>
      <w:r w:rsidRPr="00153899">
        <w:rPr>
          <w:sz w:val="28"/>
          <w:szCs w:val="28"/>
        </w:rPr>
        <w:t>⸱</w:t>
      </w:r>
      <w:r w:rsidRPr="00153899">
        <w:rPr>
          <w:sz w:val="28"/>
          <w:szCs w:val="28"/>
          <w:lang w:val="ru-RU"/>
        </w:rPr>
        <w:t>10</w:t>
      </w:r>
      <w:r w:rsidRPr="00153899">
        <w:rPr>
          <w:sz w:val="28"/>
          <w:szCs w:val="28"/>
          <w:vertAlign w:val="superscript"/>
          <w:lang w:val="ru-RU"/>
        </w:rPr>
        <w:t>19</w:t>
      </w:r>
      <w:r w:rsidRPr="00153899">
        <w:rPr>
          <w:sz w:val="28"/>
          <w:szCs w:val="28"/>
        </w:rPr>
        <w:t> </w:t>
      </w:r>
      <w:r w:rsidRPr="00153899">
        <w:rPr>
          <w:sz w:val="28"/>
          <w:szCs w:val="28"/>
          <w:lang w:val="ru-RU"/>
        </w:rPr>
        <w:t>см</w:t>
      </w:r>
      <w:r w:rsidRPr="00153899">
        <w:rPr>
          <w:sz w:val="28"/>
          <w:szCs w:val="28"/>
          <w:vertAlign w:val="superscript"/>
          <w:lang w:val="ru-RU"/>
        </w:rPr>
        <w:t>-3</w:t>
      </w:r>
      <w:r w:rsidRPr="00153899">
        <w:rPr>
          <w:sz w:val="28"/>
          <w:szCs w:val="28"/>
          <w:lang w:val="ru-RU"/>
        </w:rPr>
        <w:t xml:space="preserve"> по методу БИПС получаем отличие в разы и даже в десятки раз (отклонение от результатов ХЭ увеличивается с уменьшением концентрации легирующего компонента).</w:t>
      </w: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Приведенные результаты показывают потенциальную применимость методики, но не претендуют на максимальную полноту получаемых сведений о слоях. </w:t>
      </w:r>
    </w:p>
    <w:p w:rsidR="00153899" w:rsidRPr="00153899" w:rsidRDefault="00153899" w:rsidP="00543226">
      <w:pPr>
        <w:spacing w:after="360" w:line="240" w:lineRule="atLeast"/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Таким образом показано, что предложенная методика в указанных диапазонах концентраций легирующих компонентов, может быть применена для исследования широкого перечня твердых растворов замещения, используемых и планируемых к использованию в многокаскадных ФЭП с гетероструктурой на основе материалов </w:t>
      </w:r>
      <w:r w:rsidRPr="00153899">
        <w:rPr>
          <w:sz w:val="28"/>
          <w:szCs w:val="28"/>
          <w:lang w:val="en-US"/>
        </w:rPr>
        <w:t>AIIIBV</w:t>
      </w:r>
      <w:r w:rsidRPr="00153899">
        <w:rPr>
          <w:sz w:val="28"/>
          <w:szCs w:val="28"/>
          <w:lang w:val="ru-RU"/>
        </w:rPr>
        <w:t xml:space="preserve"> и получения заданных свойств слоёв на приборных структурах большой площади.</w:t>
      </w:r>
    </w:p>
    <w:p w:rsidR="00153899" w:rsidRPr="001145BE" w:rsidRDefault="001145BE" w:rsidP="001145BE">
      <w:pPr>
        <w:pStyle w:val="2"/>
        <w:spacing w:before="0" w:after="360"/>
        <w:ind w:firstLine="709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1145B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Источники</w:t>
      </w:r>
    </w:p>
    <w:p w:rsidR="00153899" w:rsidRPr="00153899" w:rsidRDefault="00153899" w:rsidP="007912C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[1] Якимов Е. Б. Поверхность. Рентгеновские, синхротронные и нейтронные исследования (Черноголовка, Институт проблем технологии микроэлектроники и </w:t>
      </w:r>
      <w:proofErr w:type="spellStart"/>
      <w:r w:rsidRPr="00153899">
        <w:rPr>
          <w:sz w:val="28"/>
          <w:szCs w:val="28"/>
          <w:lang w:val="ru-RU"/>
        </w:rPr>
        <w:t>особочистых</w:t>
      </w:r>
      <w:proofErr w:type="spellEnd"/>
      <w:r w:rsidRPr="00153899">
        <w:rPr>
          <w:sz w:val="28"/>
          <w:szCs w:val="28"/>
          <w:lang w:val="ru-RU"/>
        </w:rPr>
        <w:t xml:space="preserve"> материалов РАН, 2012, с. 18 – 21).</w:t>
      </w:r>
    </w:p>
    <w:p w:rsidR="00153899" w:rsidRPr="00153899" w:rsidRDefault="00153899" w:rsidP="007912CB">
      <w:pPr>
        <w:ind w:firstLine="709"/>
        <w:jc w:val="both"/>
        <w:rPr>
          <w:sz w:val="28"/>
          <w:szCs w:val="28"/>
          <w:lang w:val="ru-RU"/>
        </w:rPr>
      </w:pPr>
      <w:r w:rsidRPr="00153899">
        <w:rPr>
          <w:sz w:val="28"/>
          <w:szCs w:val="28"/>
          <w:lang w:val="ru-RU"/>
        </w:rPr>
        <w:t xml:space="preserve">[2] Фролов Д. С., </w:t>
      </w:r>
      <w:proofErr w:type="spellStart"/>
      <w:r w:rsidRPr="00153899">
        <w:rPr>
          <w:sz w:val="28"/>
          <w:szCs w:val="28"/>
          <w:lang w:val="ru-RU"/>
        </w:rPr>
        <w:t>автореф</w:t>
      </w:r>
      <w:proofErr w:type="spellEnd"/>
      <w:r w:rsidRPr="00153899">
        <w:rPr>
          <w:sz w:val="28"/>
          <w:szCs w:val="28"/>
          <w:lang w:val="ru-RU"/>
        </w:rPr>
        <w:t xml:space="preserve">. кандид. </w:t>
      </w:r>
      <w:proofErr w:type="spellStart"/>
      <w:r w:rsidRPr="00153899">
        <w:rPr>
          <w:sz w:val="28"/>
          <w:szCs w:val="28"/>
          <w:lang w:val="ru-RU"/>
        </w:rPr>
        <w:t>дисс</w:t>
      </w:r>
      <w:proofErr w:type="spellEnd"/>
      <w:r w:rsidRPr="00153899">
        <w:rPr>
          <w:sz w:val="28"/>
          <w:szCs w:val="28"/>
          <w:lang w:val="ru-RU"/>
        </w:rPr>
        <w:t>. Диагностика полупроводниковых структур методом электрохимического вольт-</w:t>
      </w:r>
      <w:proofErr w:type="spellStart"/>
      <w:r w:rsidRPr="00153899">
        <w:rPr>
          <w:sz w:val="28"/>
          <w:szCs w:val="28"/>
          <w:lang w:val="ru-RU"/>
        </w:rPr>
        <w:t>фарадного</w:t>
      </w:r>
      <w:proofErr w:type="spellEnd"/>
      <w:r w:rsidRPr="00153899">
        <w:rPr>
          <w:sz w:val="28"/>
          <w:szCs w:val="28"/>
          <w:lang w:val="ru-RU"/>
        </w:rPr>
        <w:t xml:space="preserve"> профилирования (Санкт-Петербург, «ЛЭТИ» им. В. И. Ульянова, 2016).</w:t>
      </w:r>
    </w:p>
    <w:p w:rsidR="00153899" w:rsidRDefault="00153899" w:rsidP="007912CB">
      <w:pPr>
        <w:ind w:firstLine="709"/>
        <w:jc w:val="both"/>
        <w:rPr>
          <w:rStyle w:val="reference-text"/>
          <w:bCs/>
          <w:color w:val="000000"/>
          <w:sz w:val="28"/>
          <w:szCs w:val="28"/>
          <w:lang w:val="ru-RU"/>
        </w:rPr>
      </w:pPr>
      <w:r w:rsidRPr="00153899">
        <w:rPr>
          <w:rStyle w:val="reference-text"/>
          <w:bCs/>
          <w:color w:val="000000"/>
          <w:sz w:val="28"/>
          <w:szCs w:val="28"/>
          <w:lang w:val="ru-RU"/>
        </w:rPr>
        <w:t xml:space="preserve">[3] Система контроля параметров эпитаксиального роста полупроводниковых </w:t>
      </w:r>
      <w:proofErr w:type="spellStart"/>
      <w:r w:rsidRPr="00153899">
        <w:rPr>
          <w:rStyle w:val="reference-text"/>
          <w:bCs/>
          <w:color w:val="000000"/>
          <w:sz w:val="28"/>
          <w:szCs w:val="28"/>
          <w:lang w:val="ru-RU"/>
        </w:rPr>
        <w:t>наногетероструктур</w:t>
      </w:r>
      <w:proofErr w:type="spellEnd"/>
      <w:r w:rsidRPr="00153899">
        <w:rPr>
          <w:rStyle w:val="reference-text"/>
          <w:bCs/>
          <w:color w:val="000000"/>
          <w:sz w:val="28"/>
          <w:szCs w:val="28"/>
          <w:lang w:val="ru-RU"/>
        </w:rPr>
        <w:t xml:space="preserve"> солнечных элементов космического </w:t>
      </w:r>
      <w:r w:rsidRPr="00153899">
        <w:rPr>
          <w:rStyle w:val="reference-text"/>
          <w:bCs/>
          <w:color w:val="000000"/>
          <w:sz w:val="28"/>
          <w:szCs w:val="28"/>
          <w:lang w:val="ru-RU"/>
        </w:rPr>
        <w:lastRenderedPageBreak/>
        <w:t xml:space="preserve">назначения / А.А. Лебедев, С.А. </w:t>
      </w:r>
      <w:proofErr w:type="spellStart"/>
      <w:r w:rsidRPr="00153899">
        <w:rPr>
          <w:rStyle w:val="reference-text"/>
          <w:bCs/>
          <w:color w:val="000000"/>
          <w:sz w:val="28"/>
          <w:szCs w:val="28"/>
          <w:lang w:val="ru-RU"/>
        </w:rPr>
        <w:t>Цыникин</w:t>
      </w:r>
      <w:proofErr w:type="spellEnd"/>
      <w:r w:rsidRPr="00153899">
        <w:rPr>
          <w:rStyle w:val="reference-text"/>
          <w:bCs/>
          <w:color w:val="000000"/>
          <w:sz w:val="28"/>
          <w:szCs w:val="28"/>
          <w:lang w:val="ru-RU"/>
        </w:rPr>
        <w:t>, А.М. Леднев и др. // Автономная энергетика: технический прогресс и экономика. – М, №</w:t>
      </w:r>
      <w:r w:rsidRPr="00153899">
        <w:rPr>
          <w:rStyle w:val="reference-text"/>
          <w:bCs/>
          <w:color w:val="000000"/>
          <w:sz w:val="28"/>
          <w:szCs w:val="28"/>
        </w:rPr>
        <w:t> </w:t>
      </w:r>
      <w:r w:rsidRPr="00153899">
        <w:rPr>
          <w:rStyle w:val="reference-text"/>
          <w:bCs/>
          <w:color w:val="000000"/>
          <w:sz w:val="28"/>
          <w:szCs w:val="28"/>
          <w:lang w:val="ru-RU"/>
        </w:rPr>
        <w:t>31 – 2013. – С.</w:t>
      </w:r>
      <w:r w:rsidRPr="00153899">
        <w:rPr>
          <w:rStyle w:val="reference-text"/>
          <w:bCs/>
          <w:color w:val="000000"/>
          <w:sz w:val="28"/>
          <w:szCs w:val="28"/>
        </w:rPr>
        <w:t> </w:t>
      </w:r>
      <w:r w:rsidRPr="00153899">
        <w:rPr>
          <w:rStyle w:val="reference-text"/>
          <w:bCs/>
          <w:color w:val="000000"/>
          <w:sz w:val="28"/>
          <w:szCs w:val="28"/>
          <w:lang w:val="ru-RU"/>
        </w:rPr>
        <w:t>15-24.</w:t>
      </w:r>
    </w:p>
    <w:p w:rsidR="00543226" w:rsidRPr="00543226" w:rsidRDefault="00543226" w:rsidP="007912CB">
      <w:pPr>
        <w:ind w:firstLine="709"/>
        <w:jc w:val="both"/>
        <w:rPr>
          <w:sz w:val="28"/>
          <w:szCs w:val="28"/>
          <w:lang w:val="ru-RU"/>
        </w:rPr>
      </w:pPr>
      <w:r w:rsidRPr="00543226">
        <w:rPr>
          <w:rStyle w:val="reference-text"/>
          <w:bCs/>
          <w:color w:val="000000"/>
          <w:sz w:val="28"/>
          <w:szCs w:val="28"/>
          <w:lang w:val="ru-RU"/>
        </w:rPr>
        <w:t xml:space="preserve">[4] </w:t>
      </w:r>
      <w:r w:rsidRPr="00543226">
        <w:rPr>
          <w:rStyle w:val="reference-text"/>
          <w:bCs/>
          <w:color w:val="000000"/>
          <w:sz w:val="28"/>
          <w:szCs w:val="28"/>
          <w:lang w:val="ru-RU"/>
        </w:rPr>
        <w:t xml:space="preserve">Наумова А. А., Лебедев А.А., </w:t>
      </w:r>
      <w:proofErr w:type="spellStart"/>
      <w:r w:rsidRPr="00543226">
        <w:rPr>
          <w:rStyle w:val="reference-text"/>
          <w:bCs/>
          <w:color w:val="000000"/>
          <w:sz w:val="28"/>
          <w:szCs w:val="28"/>
          <w:lang w:val="ru-RU"/>
        </w:rPr>
        <w:t>Вагапова</w:t>
      </w:r>
      <w:proofErr w:type="spellEnd"/>
      <w:r w:rsidRPr="00543226">
        <w:rPr>
          <w:rStyle w:val="reference-text"/>
          <w:bCs/>
          <w:color w:val="000000"/>
          <w:sz w:val="28"/>
          <w:szCs w:val="28"/>
          <w:lang w:val="ru-RU"/>
        </w:rPr>
        <w:t xml:space="preserve"> Н. Т. Разработка фотопреобразователей космического назначения с увеличенной </w:t>
      </w:r>
      <w:proofErr w:type="spellStart"/>
      <w:r w:rsidRPr="00543226">
        <w:rPr>
          <w:rStyle w:val="reference-text"/>
          <w:bCs/>
          <w:color w:val="000000"/>
          <w:sz w:val="28"/>
          <w:szCs w:val="28"/>
          <w:lang w:val="ru-RU"/>
        </w:rPr>
        <w:t>фотоактивной</w:t>
      </w:r>
      <w:proofErr w:type="spellEnd"/>
      <w:r w:rsidRPr="00543226">
        <w:rPr>
          <w:rStyle w:val="reference-text"/>
          <w:bCs/>
          <w:color w:val="000000"/>
          <w:sz w:val="28"/>
          <w:szCs w:val="28"/>
          <w:lang w:val="ru-RU"/>
        </w:rPr>
        <w:t xml:space="preserve"> площадью // Тезисы докладов </w:t>
      </w:r>
      <w:r w:rsidRPr="00543226">
        <w:rPr>
          <w:rStyle w:val="reference-text"/>
          <w:bCs/>
          <w:color w:val="000000"/>
          <w:sz w:val="28"/>
          <w:szCs w:val="28"/>
          <w:lang w:val="en-US"/>
        </w:rPr>
        <w:t>XXII</w:t>
      </w:r>
      <w:r w:rsidRPr="00543226">
        <w:rPr>
          <w:rStyle w:val="reference-text"/>
          <w:bCs/>
          <w:color w:val="000000"/>
          <w:sz w:val="28"/>
          <w:szCs w:val="28"/>
          <w:lang w:val="ru-RU"/>
        </w:rPr>
        <w:t xml:space="preserve"> Научно-технической конференции молодых ученых и специалистов, посвященной 60-летию полета Ю.А. Гагарина, 75-летию ракетно-космической отрасли и основания ПАО «РКК «Энергия». – 2021. – С. 301-303.</w:t>
      </w:r>
    </w:p>
    <w:p w:rsidR="00153899" w:rsidRDefault="00153899" w:rsidP="007912CB">
      <w:pPr>
        <w:ind w:firstLine="709"/>
        <w:jc w:val="both"/>
        <w:rPr>
          <w:bCs/>
          <w:sz w:val="28"/>
          <w:szCs w:val="28"/>
          <w:lang w:val="en-US"/>
        </w:rPr>
      </w:pPr>
      <w:r w:rsidRPr="00153899">
        <w:rPr>
          <w:sz w:val="28"/>
          <w:szCs w:val="28"/>
        </w:rPr>
        <w:t>[</w:t>
      </w:r>
      <w:r w:rsidR="00543226" w:rsidRPr="00543226">
        <w:rPr>
          <w:sz w:val="28"/>
          <w:szCs w:val="28"/>
          <w:lang w:val="en-US"/>
        </w:rPr>
        <w:t>5</w:t>
      </w:r>
      <w:r w:rsidRPr="00153899">
        <w:rPr>
          <w:sz w:val="28"/>
          <w:szCs w:val="28"/>
        </w:rPr>
        <w:t xml:space="preserve">] </w:t>
      </w:r>
      <w:r w:rsidRPr="00153899">
        <w:rPr>
          <w:sz w:val="28"/>
          <w:szCs w:val="28"/>
          <w:lang w:val="en-US"/>
        </w:rPr>
        <w:t>A</w:t>
      </w:r>
      <w:r w:rsidRPr="00153899">
        <w:rPr>
          <w:sz w:val="28"/>
          <w:szCs w:val="28"/>
        </w:rPr>
        <w:t>.</w:t>
      </w:r>
      <w:r w:rsidRPr="00153899">
        <w:rPr>
          <w:sz w:val="28"/>
          <w:szCs w:val="28"/>
          <w:lang w:val="en-US"/>
        </w:rPr>
        <w:t>A</w:t>
      </w:r>
      <w:r w:rsidRPr="00153899">
        <w:rPr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Naumova</w:t>
      </w:r>
      <w:r w:rsidRPr="00153899">
        <w:rPr>
          <w:bCs/>
          <w:sz w:val="28"/>
          <w:szCs w:val="28"/>
        </w:rPr>
        <w:t xml:space="preserve">, </w:t>
      </w:r>
      <w:r w:rsidRPr="00153899">
        <w:rPr>
          <w:bCs/>
          <w:sz w:val="28"/>
          <w:szCs w:val="28"/>
          <w:lang w:val="en-US"/>
        </w:rPr>
        <w:t>A</w:t>
      </w:r>
      <w:r w:rsidRPr="00153899">
        <w:rPr>
          <w:bCs/>
          <w:sz w:val="28"/>
          <w:szCs w:val="28"/>
        </w:rPr>
        <w:t>.</w:t>
      </w:r>
      <w:r w:rsidRPr="00153899">
        <w:rPr>
          <w:bCs/>
          <w:sz w:val="28"/>
          <w:szCs w:val="28"/>
          <w:lang w:val="en-US"/>
        </w:rPr>
        <w:t>A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Lebedev</w:t>
      </w:r>
      <w:r w:rsidRPr="00153899">
        <w:rPr>
          <w:bCs/>
          <w:sz w:val="28"/>
          <w:szCs w:val="28"/>
        </w:rPr>
        <w:t xml:space="preserve">, </w:t>
      </w:r>
      <w:r w:rsidRPr="00153899">
        <w:rPr>
          <w:bCs/>
          <w:sz w:val="28"/>
          <w:szCs w:val="28"/>
          <w:lang w:val="en-US"/>
        </w:rPr>
        <w:t>B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V</w:t>
      </w:r>
      <w:r w:rsidRPr="00153899">
        <w:rPr>
          <w:bCs/>
          <w:sz w:val="28"/>
          <w:szCs w:val="28"/>
        </w:rPr>
        <w:t xml:space="preserve">. </w:t>
      </w:r>
      <w:proofErr w:type="spellStart"/>
      <w:r w:rsidRPr="00153899">
        <w:rPr>
          <w:bCs/>
          <w:sz w:val="28"/>
          <w:szCs w:val="28"/>
          <w:lang w:val="en-US"/>
        </w:rPr>
        <w:t>Zhalnin</w:t>
      </w:r>
      <w:proofErr w:type="spellEnd"/>
      <w:r w:rsidRPr="00153899">
        <w:rPr>
          <w:bCs/>
          <w:sz w:val="28"/>
          <w:szCs w:val="28"/>
        </w:rPr>
        <w:t xml:space="preserve">, </w:t>
      </w:r>
      <w:r w:rsidRPr="00153899">
        <w:rPr>
          <w:bCs/>
          <w:sz w:val="28"/>
          <w:szCs w:val="28"/>
          <w:lang w:val="en-US"/>
        </w:rPr>
        <w:t>N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T</w:t>
      </w:r>
      <w:r w:rsidRPr="00153899">
        <w:rPr>
          <w:bCs/>
          <w:sz w:val="28"/>
          <w:szCs w:val="28"/>
        </w:rPr>
        <w:t xml:space="preserve">. </w:t>
      </w:r>
      <w:proofErr w:type="spellStart"/>
      <w:r w:rsidRPr="00153899">
        <w:rPr>
          <w:bCs/>
          <w:sz w:val="28"/>
          <w:szCs w:val="28"/>
          <w:lang w:val="en-US"/>
        </w:rPr>
        <w:t>Vagapova</w:t>
      </w:r>
      <w:proofErr w:type="spellEnd"/>
      <w:r w:rsidRPr="00153899">
        <w:rPr>
          <w:bCs/>
          <w:sz w:val="28"/>
          <w:szCs w:val="28"/>
        </w:rPr>
        <w:t xml:space="preserve">, </w:t>
      </w:r>
      <w:r w:rsidRPr="00153899">
        <w:rPr>
          <w:bCs/>
          <w:sz w:val="28"/>
          <w:szCs w:val="28"/>
          <w:lang w:val="en-US"/>
        </w:rPr>
        <w:t>M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B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Kagan</w:t>
      </w:r>
      <w:r w:rsidRPr="00153899">
        <w:rPr>
          <w:bCs/>
          <w:sz w:val="28"/>
          <w:szCs w:val="28"/>
        </w:rPr>
        <w:t xml:space="preserve">, </w:t>
      </w:r>
      <w:r w:rsidRPr="00153899">
        <w:rPr>
          <w:bCs/>
          <w:sz w:val="28"/>
          <w:szCs w:val="28"/>
          <w:lang w:val="en-US"/>
        </w:rPr>
        <w:t>A</w:t>
      </w:r>
      <w:r w:rsidRPr="00153899">
        <w:rPr>
          <w:bCs/>
          <w:sz w:val="28"/>
          <w:szCs w:val="28"/>
        </w:rPr>
        <w:t>.</w:t>
      </w:r>
      <w:r w:rsidRPr="00153899">
        <w:rPr>
          <w:bCs/>
          <w:sz w:val="28"/>
          <w:szCs w:val="28"/>
          <w:lang w:val="en-US"/>
        </w:rPr>
        <w:t> A</w:t>
      </w:r>
      <w:r w:rsidRPr="00153899">
        <w:rPr>
          <w:bCs/>
          <w:sz w:val="28"/>
          <w:szCs w:val="28"/>
        </w:rPr>
        <w:t>.</w:t>
      </w:r>
      <w:r w:rsidRPr="00153899">
        <w:rPr>
          <w:bCs/>
          <w:sz w:val="28"/>
          <w:szCs w:val="28"/>
          <w:lang w:val="en-US"/>
        </w:rPr>
        <w:t> Smirnov</w:t>
      </w:r>
      <w:r w:rsidRPr="00153899">
        <w:rPr>
          <w:bCs/>
          <w:sz w:val="28"/>
          <w:szCs w:val="28"/>
        </w:rPr>
        <w:t xml:space="preserve"> </w:t>
      </w:r>
      <w:r w:rsidRPr="00153899">
        <w:rPr>
          <w:bCs/>
          <w:sz w:val="28"/>
          <w:szCs w:val="28"/>
          <w:lang w:val="en-US"/>
        </w:rPr>
        <w:t>A</w:t>
      </w:r>
      <w:r w:rsidRPr="00153899">
        <w:rPr>
          <w:bCs/>
          <w:sz w:val="28"/>
          <w:szCs w:val="28"/>
        </w:rPr>
        <w:t>.</w:t>
      </w:r>
      <w:r w:rsidRPr="00153899">
        <w:rPr>
          <w:bCs/>
          <w:sz w:val="28"/>
          <w:szCs w:val="28"/>
          <w:lang w:val="en-US"/>
        </w:rPr>
        <w:t>A</w:t>
      </w:r>
      <w:r w:rsidRPr="00153899">
        <w:rPr>
          <w:bCs/>
          <w:sz w:val="28"/>
          <w:szCs w:val="28"/>
        </w:rPr>
        <w:t xml:space="preserve">., </w:t>
      </w:r>
      <w:r w:rsidRPr="00153899">
        <w:rPr>
          <w:bCs/>
          <w:sz w:val="28"/>
          <w:szCs w:val="28"/>
          <w:lang w:val="en-US"/>
        </w:rPr>
        <w:t>S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K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Sharov</w:t>
      </w:r>
      <w:r w:rsidRPr="00153899">
        <w:rPr>
          <w:bCs/>
          <w:sz w:val="28"/>
          <w:szCs w:val="28"/>
        </w:rPr>
        <w:t xml:space="preserve">. </w:t>
      </w:r>
      <w:r w:rsidRPr="00153899">
        <w:rPr>
          <w:bCs/>
          <w:sz w:val="28"/>
          <w:szCs w:val="28"/>
          <w:lang w:val="en-US"/>
        </w:rPr>
        <w:t>Investigation In</w:t>
      </w:r>
      <w:r w:rsidRPr="00153899">
        <w:rPr>
          <w:bCs/>
          <w:sz w:val="28"/>
          <w:szCs w:val="28"/>
          <w:vertAlign w:val="subscript"/>
          <w:lang w:val="en-US"/>
        </w:rPr>
        <w:t>x</w:t>
      </w:r>
      <w:r w:rsidRPr="00153899">
        <w:rPr>
          <w:bCs/>
          <w:sz w:val="28"/>
          <w:szCs w:val="28"/>
          <w:lang w:val="en-US"/>
        </w:rPr>
        <w:t>Ga</w:t>
      </w:r>
      <w:r w:rsidRPr="00153899">
        <w:rPr>
          <w:bCs/>
          <w:sz w:val="28"/>
          <w:szCs w:val="28"/>
          <w:vertAlign w:val="subscript"/>
          <w:lang w:val="en-US"/>
        </w:rPr>
        <w:t>1-</w:t>
      </w:r>
      <w:r w:rsidRPr="00153899">
        <w:rPr>
          <w:bCs/>
          <w:sz w:val="28"/>
          <w:szCs w:val="28"/>
          <w:vertAlign w:val="subscript"/>
        </w:rPr>
        <w:t>х</w:t>
      </w:r>
      <w:r w:rsidRPr="00153899">
        <w:rPr>
          <w:bCs/>
          <w:sz w:val="28"/>
          <w:szCs w:val="28"/>
          <w:lang w:val="en-US"/>
        </w:rPr>
        <w:t>P and In</w:t>
      </w:r>
      <w:r w:rsidRPr="00153899">
        <w:rPr>
          <w:bCs/>
          <w:sz w:val="28"/>
          <w:szCs w:val="28"/>
          <w:vertAlign w:val="subscript"/>
        </w:rPr>
        <w:t>х</w:t>
      </w:r>
      <w:r w:rsidRPr="00153899">
        <w:rPr>
          <w:bCs/>
          <w:sz w:val="28"/>
          <w:szCs w:val="28"/>
          <w:lang w:val="en-US"/>
        </w:rPr>
        <w:t>Al</w:t>
      </w:r>
      <w:r w:rsidRPr="00153899">
        <w:rPr>
          <w:bCs/>
          <w:sz w:val="28"/>
          <w:szCs w:val="28"/>
          <w:vertAlign w:val="subscript"/>
          <w:lang w:val="en-US"/>
        </w:rPr>
        <w:t>1-</w:t>
      </w:r>
      <w:r w:rsidRPr="00153899">
        <w:rPr>
          <w:bCs/>
          <w:sz w:val="28"/>
          <w:szCs w:val="28"/>
          <w:vertAlign w:val="subscript"/>
        </w:rPr>
        <w:t>х</w:t>
      </w:r>
      <w:r w:rsidRPr="00153899">
        <w:rPr>
          <w:bCs/>
          <w:sz w:val="28"/>
          <w:szCs w:val="28"/>
          <w:lang w:val="en-US"/>
        </w:rPr>
        <w:t>P heterostructures for cascade solar cells / «</w:t>
      </w:r>
      <w:r w:rsidRPr="00153899">
        <w:rPr>
          <w:bCs/>
          <w:sz w:val="28"/>
          <w:szCs w:val="28"/>
        </w:rPr>
        <w:t>А</w:t>
      </w:r>
      <w:r w:rsidRPr="00153899">
        <w:rPr>
          <w:bCs/>
          <w:sz w:val="28"/>
          <w:szCs w:val="28"/>
          <w:lang w:val="en-US"/>
        </w:rPr>
        <w:t>IP Conference Proceedings». – 2021</w:t>
      </w:r>
      <w:r w:rsidR="002F539E">
        <w:rPr>
          <w:bCs/>
          <w:sz w:val="28"/>
          <w:szCs w:val="28"/>
          <w:lang w:val="en-US"/>
        </w:rPr>
        <w:t>.</w:t>
      </w:r>
    </w:p>
    <w:p w:rsidR="007912CB" w:rsidRPr="00153899" w:rsidRDefault="007912CB" w:rsidP="007912CB">
      <w:pPr>
        <w:ind w:firstLine="709"/>
        <w:jc w:val="both"/>
        <w:rPr>
          <w:bCs/>
          <w:sz w:val="28"/>
          <w:szCs w:val="28"/>
          <w:lang w:val="en-US"/>
        </w:rPr>
      </w:pPr>
    </w:p>
    <w:p w:rsidR="002F539E" w:rsidRPr="002F539E" w:rsidRDefault="002F539E" w:rsidP="007912CB">
      <w:pPr>
        <w:ind w:firstLine="284"/>
        <w:rPr>
          <w:b/>
          <w:bCs/>
          <w:lang w:val="en-US"/>
        </w:rPr>
      </w:pPr>
    </w:p>
    <w:p w:rsidR="00153899" w:rsidRPr="00153899" w:rsidRDefault="00153899" w:rsidP="007912CB">
      <w:pPr>
        <w:ind w:firstLine="284"/>
        <w:rPr>
          <w:b/>
          <w:bCs/>
          <w:lang w:val="ru-RU"/>
        </w:rPr>
      </w:pPr>
      <w:r w:rsidRPr="00153899">
        <w:rPr>
          <w:b/>
          <w:bCs/>
          <w:lang w:val="ru-RU"/>
        </w:rPr>
        <w:t>Информация об авторах:</w:t>
      </w:r>
    </w:p>
    <w:p w:rsidR="00153899" w:rsidRPr="00153899" w:rsidRDefault="00153899" w:rsidP="007912CB">
      <w:pPr>
        <w:ind w:firstLine="709"/>
        <w:jc w:val="both"/>
        <w:rPr>
          <w:lang w:val="ru-RU"/>
        </w:rPr>
      </w:pPr>
      <w:r w:rsidRPr="00153899">
        <w:rPr>
          <w:b/>
          <w:bCs/>
          <w:lang w:val="ru-RU"/>
        </w:rPr>
        <w:t>Платонов Николай Дмитриевич</w:t>
      </w:r>
      <w:r w:rsidRPr="00153899">
        <w:rPr>
          <w:lang w:val="ru-RU"/>
        </w:rPr>
        <w:t xml:space="preserve"> – аспирант кафедры «Физика» ФГБОУ ВО «КГЭУ». Электронная почта: </w:t>
      </w:r>
      <w:hyperlink r:id="rId11" w:history="1">
        <w:r w:rsidRPr="00986541">
          <w:rPr>
            <w:rStyle w:val="a8"/>
            <w:lang w:val="en-US"/>
          </w:rPr>
          <w:t>nickiplatonov</w:t>
        </w:r>
        <w:r w:rsidRPr="00153899">
          <w:rPr>
            <w:rStyle w:val="a8"/>
            <w:lang w:val="ru-RU"/>
          </w:rPr>
          <w:t>@</w:t>
        </w:r>
        <w:r w:rsidRPr="00986541">
          <w:rPr>
            <w:rStyle w:val="a8"/>
            <w:lang w:val="en-US"/>
          </w:rPr>
          <w:t>gmail</w:t>
        </w:r>
        <w:r w:rsidRPr="00153899">
          <w:rPr>
            <w:rStyle w:val="a8"/>
            <w:lang w:val="ru-RU"/>
          </w:rPr>
          <w:t>.</w:t>
        </w:r>
        <w:r w:rsidRPr="00986541">
          <w:rPr>
            <w:rStyle w:val="a8"/>
            <w:lang w:val="en-US"/>
          </w:rPr>
          <w:t>com</w:t>
        </w:r>
      </w:hyperlink>
      <w:r w:rsidRPr="00153899">
        <w:rPr>
          <w:lang w:val="ru-RU"/>
        </w:rPr>
        <w:t>.</w:t>
      </w:r>
    </w:p>
    <w:p w:rsidR="00153899" w:rsidRPr="00153899" w:rsidRDefault="00153899" w:rsidP="007912CB">
      <w:pPr>
        <w:ind w:firstLine="709"/>
        <w:jc w:val="both"/>
        <w:rPr>
          <w:lang w:val="ru-RU"/>
        </w:rPr>
      </w:pPr>
      <w:r w:rsidRPr="00153899">
        <w:rPr>
          <w:b/>
          <w:bCs/>
          <w:lang w:val="ru-RU"/>
        </w:rPr>
        <w:t xml:space="preserve">Лебедев Андрей Александрович </w:t>
      </w:r>
      <w:r w:rsidRPr="00153899">
        <w:rPr>
          <w:lang w:val="ru-RU"/>
        </w:rPr>
        <w:t xml:space="preserve">– начальник отдела АО «НПП «Квант», старший преподаватель кафедры полупроводниковой электроники и физики полупроводников НИТУ «МИСиС». Электронная почта: </w:t>
      </w:r>
      <w:hyperlink r:id="rId12" w:history="1">
        <w:r w:rsidRPr="00986541">
          <w:rPr>
            <w:rStyle w:val="a8"/>
            <w:lang w:val="en-US"/>
          </w:rPr>
          <w:t>lebedev</w:t>
        </w:r>
        <w:r w:rsidRPr="00153899">
          <w:rPr>
            <w:rStyle w:val="a8"/>
            <w:lang w:val="ru-RU"/>
          </w:rPr>
          <w:t>_</w:t>
        </w:r>
        <w:r w:rsidRPr="00986541">
          <w:rPr>
            <w:rStyle w:val="a8"/>
            <w:lang w:val="en-US"/>
          </w:rPr>
          <w:t>aa</w:t>
        </w:r>
        <w:r w:rsidRPr="00153899">
          <w:rPr>
            <w:rStyle w:val="a8"/>
            <w:lang w:val="ru-RU"/>
          </w:rPr>
          <w:t>@</w:t>
        </w:r>
        <w:r w:rsidRPr="00986541">
          <w:rPr>
            <w:rStyle w:val="a8"/>
            <w:lang w:val="en-US"/>
          </w:rPr>
          <w:t>npp</w:t>
        </w:r>
        <w:r w:rsidRPr="00153899">
          <w:rPr>
            <w:rStyle w:val="a8"/>
            <w:lang w:val="ru-RU"/>
          </w:rPr>
          <w:t>-</w:t>
        </w:r>
        <w:r w:rsidRPr="00986541">
          <w:rPr>
            <w:rStyle w:val="a8"/>
            <w:lang w:val="en-US"/>
          </w:rPr>
          <w:t>kvant</w:t>
        </w:r>
        <w:r w:rsidRPr="00153899">
          <w:rPr>
            <w:rStyle w:val="a8"/>
            <w:lang w:val="ru-RU"/>
          </w:rPr>
          <w:t>.</w:t>
        </w:r>
        <w:proofErr w:type="spellStart"/>
        <w:r w:rsidRPr="00986541">
          <w:rPr>
            <w:rStyle w:val="a8"/>
            <w:lang w:val="en-US"/>
          </w:rPr>
          <w:t>ru</w:t>
        </w:r>
        <w:proofErr w:type="spellEnd"/>
      </w:hyperlink>
      <w:r w:rsidRPr="00153899">
        <w:rPr>
          <w:lang w:val="ru-RU"/>
        </w:rPr>
        <w:t>.</w:t>
      </w:r>
    </w:p>
    <w:p w:rsidR="00153899" w:rsidRPr="00153899" w:rsidRDefault="00153899" w:rsidP="007912CB">
      <w:pPr>
        <w:ind w:firstLine="709"/>
        <w:jc w:val="both"/>
        <w:rPr>
          <w:color w:val="222222"/>
          <w:shd w:val="clear" w:color="auto" w:fill="FFFFFF"/>
          <w:lang w:val="ru-RU"/>
        </w:rPr>
      </w:pPr>
      <w:proofErr w:type="spellStart"/>
      <w:r w:rsidRPr="00153899">
        <w:rPr>
          <w:b/>
          <w:bCs/>
          <w:lang w:val="ru-RU"/>
        </w:rPr>
        <w:t>Матухин</w:t>
      </w:r>
      <w:proofErr w:type="spellEnd"/>
      <w:r w:rsidRPr="00153899">
        <w:rPr>
          <w:b/>
          <w:bCs/>
          <w:lang w:val="ru-RU"/>
        </w:rPr>
        <w:t xml:space="preserve"> Вадим Леонидович</w:t>
      </w:r>
      <w:r w:rsidRPr="00153899">
        <w:rPr>
          <w:lang w:val="ru-RU"/>
        </w:rPr>
        <w:t xml:space="preserve"> – доктор физико-математических наук, профессор кафедры «физика» ФГБОУ КГЭУ. Электронная почта: </w:t>
      </w:r>
      <w:hyperlink r:id="rId13" w:history="1">
        <w:r w:rsidRPr="00986541">
          <w:rPr>
            <w:rStyle w:val="a8"/>
            <w:shd w:val="clear" w:color="auto" w:fill="FFFFFF"/>
          </w:rPr>
          <w:t>matukhinvl</w:t>
        </w:r>
        <w:r w:rsidRPr="00153899">
          <w:rPr>
            <w:rStyle w:val="a8"/>
            <w:shd w:val="clear" w:color="auto" w:fill="FFFFFF"/>
            <w:lang w:val="ru-RU"/>
          </w:rPr>
          <w:t>@</w:t>
        </w:r>
        <w:r w:rsidRPr="00986541">
          <w:rPr>
            <w:rStyle w:val="a8"/>
            <w:shd w:val="clear" w:color="auto" w:fill="FFFFFF"/>
          </w:rPr>
          <w:t>mail</w:t>
        </w:r>
        <w:r w:rsidRPr="00153899">
          <w:rPr>
            <w:rStyle w:val="a8"/>
            <w:shd w:val="clear" w:color="auto" w:fill="FFFFFF"/>
            <w:lang w:val="ru-RU"/>
          </w:rPr>
          <w:t>.</w:t>
        </w:r>
        <w:proofErr w:type="spellStart"/>
        <w:r w:rsidRPr="00986541">
          <w:rPr>
            <w:rStyle w:val="a8"/>
            <w:shd w:val="clear" w:color="auto" w:fill="FFFFFF"/>
          </w:rPr>
          <w:t>ru</w:t>
        </w:r>
        <w:proofErr w:type="spellEnd"/>
      </w:hyperlink>
      <w:r w:rsidRPr="00153899">
        <w:rPr>
          <w:color w:val="222222"/>
          <w:shd w:val="clear" w:color="auto" w:fill="FFFFFF"/>
          <w:lang w:val="ru-RU"/>
        </w:rPr>
        <w:t xml:space="preserve">. </w:t>
      </w:r>
    </w:p>
    <w:p w:rsidR="00153899" w:rsidRPr="00153899" w:rsidRDefault="00153899" w:rsidP="007912CB">
      <w:pPr>
        <w:ind w:firstLine="709"/>
        <w:jc w:val="both"/>
        <w:rPr>
          <w:color w:val="222222"/>
          <w:shd w:val="clear" w:color="auto" w:fill="FFFFFF"/>
          <w:lang w:val="ru-RU"/>
        </w:rPr>
      </w:pPr>
      <w:r w:rsidRPr="00153899">
        <w:rPr>
          <w:b/>
          <w:bCs/>
          <w:color w:val="222222"/>
          <w:shd w:val="clear" w:color="auto" w:fill="FFFFFF"/>
          <w:lang w:val="ru-RU"/>
        </w:rPr>
        <w:t>Иванов Александр Федорович</w:t>
      </w:r>
      <w:r w:rsidRPr="00153899">
        <w:rPr>
          <w:color w:val="222222"/>
          <w:shd w:val="clear" w:color="auto" w:fill="FFFFFF"/>
          <w:lang w:val="ru-RU"/>
        </w:rPr>
        <w:t xml:space="preserve"> – аспирант кафедры «Физика» ФГБОУ ВО «КГЭУ». Электронная почта: </w:t>
      </w:r>
      <w:hyperlink r:id="rId14" w:history="1">
        <w:r w:rsidRPr="0050737A">
          <w:rPr>
            <w:rStyle w:val="a8"/>
            <w:shd w:val="clear" w:color="auto" w:fill="FFFFFF"/>
          </w:rPr>
          <w:t>ivanovaleksandrf</w:t>
        </w:r>
        <w:r w:rsidRPr="00153899">
          <w:rPr>
            <w:rStyle w:val="a8"/>
            <w:shd w:val="clear" w:color="auto" w:fill="FFFFFF"/>
            <w:lang w:val="ru-RU"/>
          </w:rPr>
          <w:t>@</w:t>
        </w:r>
        <w:r w:rsidRPr="0050737A">
          <w:rPr>
            <w:rStyle w:val="a8"/>
            <w:shd w:val="clear" w:color="auto" w:fill="FFFFFF"/>
          </w:rPr>
          <w:t>yandex</w:t>
        </w:r>
        <w:r w:rsidRPr="00153899">
          <w:rPr>
            <w:rStyle w:val="a8"/>
            <w:shd w:val="clear" w:color="auto" w:fill="FFFFFF"/>
            <w:lang w:val="ru-RU"/>
          </w:rPr>
          <w:t>.</w:t>
        </w:r>
        <w:proofErr w:type="spellStart"/>
        <w:r w:rsidRPr="0050737A">
          <w:rPr>
            <w:rStyle w:val="a8"/>
            <w:shd w:val="clear" w:color="auto" w:fill="FFFFFF"/>
          </w:rPr>
          <w:t>ru</w:t>
        </w:r>
        <w:proofErr w:type="spellEnd"/>
      </w:hyperlink>
      <w:r w:rsidRPr="00153899">
        <w:rPr>
          <w:color w:val="222222"/>
          <w:shd w:val="clear" w:color="auto" w:fill="FFFFFF"/>
          <w:lang w:val="ru-RU"/>
        </w:rPr>
        <w:t>.</w:t>
      </w:r>
    </w:p>
    <w:p w:rsidR="00153899" w:rsidRPr="009507B6" w:rsidRDefault="00153899" w:rsidP="007912CB">
      <w:pPr>
        <w:ind w:firstLine="709"/>
        <w:jc w:val="both"/>
        <w:rPr>
          <w:color w:val="222222"/>
          <w:shd w:val="clear" w:color="auto" w:fill="FFFFFF"/>
          <w:lang w:val="en-US"/>
        </w:rPr>
      </w:pPr>
      <w:r w:rsidRPr="00153899">
        <w:rPr>
          <w:b/>
          <w:bCs/>
          <w:color w:val="222222"/>
          <w:shd w:val="clear" w:color="auto" w:fill="FFFFFF"/>
          <w:lang w:val="ru-RU"/>
        </w:rPr>
        <w:t>Смирнов Александр Андреевич</w:t>
      </w:r>
      <w:r w:rsidRPr="00153899">
        <w:rPr>
          <w:color w:val="222222"/>
          <w:shd w:val="clear" w:color="auto" w:fill="FFFFFF"/>
          <w:lang w:val="ru-RU"/>
        </w:rPr>
        <w:t xml:space="preserve"> – инженер-технолог 1 категории </w:t>
      </w:r>
      <w:r w:rsidRPr="00153899">
        <w:rPr>
          <w:lang w:val="ru-RU"/>
        </w:rPr>
        <w:t xml:space="preserve">АО «НПП «Квант». Электронная почта: </w:t>
      </w:r>
      <w:hyperlink r:id="rId15" w:history="1">
        <w:r w:rsidR="009507B6" w:rsidRPr="000C1415">
          <w:rPr>
            <w:rStyle w:val="a8"/>
            <w:lang w:val="en-US"/>
          </w:rPr>
          <w:t>smirnov</w:t>
        </w:r>
        <w:r w:rsidR="009507B6" w:rsidRPr="000C1415">
          <w:rPr>
            <w:rStyle w:val="a8"/>
            <w:lang w:val="ru-RU"/>
          </w:rPr>
          <w:t>_</w:t>
        </w:r>
        <w:r w:rsidR="009507B6" w:rsidRPr="000C1415">
          <w:rPr>
            <w:rStyle w:val="a8"/>
            <w:lang w:val="en-US"/>
          </w:rPr>
          <w:t>aa</w:t>
        </w:r>
        <w:r w:rsidR="009507B6" w:rsidRPr="000C1415">
          <w:rPr>
            <w:rStyle w:val="a8"/>
            <w:lang w:val="ru-RU"/>
          </w:rPr>
          <w:t>@</w:t>
        </w:r>
        <w:r w:rsidR="009507B6" w:rsidRPr="000C1415">
          <w:rPr>
            <w:rStyle w:val="a8"/>
            <w:lang w:val="en-US"/>
          </w:rPr>
          <w:t>npp</w:t>
        </w:r>
        <w:r w:rsidR="009507B6" w:rsidRPr="000C1415">
          <w:rPr>
            <w:rStyle w:val="a8"/>
            <w:lang w:val="ru-RU"/>
          </w:rPr>
          <w:t>-</w:t>
        </w:r>
        <w:r w:rsidR="009507B6" w:rsidRPr="000C1415">
          <w:rPr>
            <w:rStyle w:val="a8"/>
            <w:lang w:val="en-US"/>
          </w:rPr>
          <w:t>kvant</w:t>
        </w:r>
        <w:r w:rsidR="009507B6" w:rsidRPr="000C1415">
          <w:rPr>
            <w:rStyle w:val="a8"/>
            <w:lang w:val="ru-RU"/>
          </w:rPr>
          <w:t>.</w:t>
        </w:r>
        <w:r w:rsidR="009507B6" w:rsidRPr="000C1415">
          <w:rPr>
            <w:rStyle w:val="a8"/>
            <w:lang w:val="en-US"/>
          </w:rPr>
          <w:t>ru</w:t>
        </w:r>
      </w:hyperlink>
      <w:r w:rsidR="009507B6" w:rsidRPr="009507B6">
        <w:rPr>
          <w:lang w:val="ru-RU"/>
        </w:rPr>
        <w:t>.</w:t>
      </w:r>
      <w:r w:rsidR="009507B6">
        <w:rPr>
          <w:lang w:val="en-US"/>
        </w:rPr>
        <w:t xml:space="preserve"> </w:t>
      </w:r>
    </w:p>
    <w:p w:rsidR="00153899" w:rsidRPr="009507B6" w:rsidRDefault="00153899" w:rsidP="007912CB">
      <w:pPr>
        <w:ind w:right="-1" w:firstLine="709"/>
        <w:jc w:val="both"/>
        <w:rPr>
          <w:rStyle w:val="reference-text"/>
          <w:bCs/>
          <w:color w:val="000000" w:themeColor="text1"/>
          <w:lang w:val="ru-RU"/>
        </w:rPr>
      </w:pPr>
      <w:proofErr w:type="spellStart"/>
      <w:r w:rsidRPr="009507B6">
        <w:rPr>
          <w:rStyle w:val="reference-text"/>
          <w:b/>
          <w:color w:val="000000" w:themeColor="text1"/>
          <w:lang w:val="ru-RU"/>
        </w:rPr>
        <w:t>Теруков</w:t>
      </w:r>
      <w:proofErr w:type="spellEnd"/>
      <w:r w:rsidRPr="009507B6">
        <w:rPr>
          <w:rStyle w:val="reference-text"/>
          <w:b/>
          <w:color w:val="000000" w:themeColor="text1"/>
          <w:lang w:val="ru-RU"/>
        </w:rPr>
        <w:t xml:space="preserve"> Евгений Иванович</w:t>
      </w:r>
      <w:r w:rsidRPr="009507B6">
        <w:rPr>
          <w:rStyle w:val="reference-text"/>
          <w:bCs/>
          <w:color w:val="000000" w:themeColor="text1"/>
          <w:lang w:val="ru-RU"/>
        </w:rPr>
        <w:t xml:space="preserve"> – </w:t>
      </w:r>
      <w:r w:rsidRPr="009507B6">
        <w:rPr>
          <w:color w:val="000000" w:themeColor="text1"/>
          <w:shd w:val="clear" w:color="auto" w:fill="FFFFFF"/>
          <w:lang w:val="ru-RU"/>
        </w:rPr>
        <w:t xml:space="preserve">доктор техн. наук, старший научный сотрудник </w:t>
      </w:r>
      <w:proofErr w:type="spellStart"/>
      <w:proofErr w:type="gramStart"/>
      <w:r w:rsidRPr="009507B6">
        <w:rPr>
          <w:color w:val="000000" w:themeColor="text1"/>
          <w:lang w:val="ru-RU"/>
        </w:rPr>
        <w:t>СПбГТЭУ«</w:t>
      </w:r>
      <w:proofErr w:type="gramEnd"/>
      <w:r w:rsidRPr="009507B6">
        <w:rPr>
          <w:color w:val="000000" w:themeColor="text1"/>
          <w:lang w:val="ru-RU"/>
        </w:rPr>
        <w:t>ЛЭТИ</w:t>
      </w:r>
      <w:proofErr w:type="spellEnd"/>
      <w:r w:rsidRPr="009507B6">
        <w:rPr>
          <w:color w:val="000000" w:themeColor="text1"/>
          <w:lang w:val="ru-RU"/>
        </w:rPr>
        <w:t>» им. В.И. Ульянова</w:t>
      </w:r>
      <w:r w:rsidR="009507B6" w:rsidRPr="009507B6">
        <w:rPr>
          <w:color w:val="000000" w:themeColor="text1"/>
          <w:lang w:val="ru-RU"/>
        </w:rPr>
        <w:t xml:space="preserve">, </w:t>
      </w:r>
      <w:r w:rsidR="009507B6" w:rsidRPr="009507B6">
        <w:rPr>
          <w:color w:val="000000" w:themeColor="text1"/>
          <w:shd w:val="clear" w:color="auto" w:fill="FFFFFF"/>
          <w:lang w:val="ru-RU"/>
        </w:rPr>
        <w:t xml:space="preserve">заместитель генерального директора ООО «НТЦ тонкопленочных технологий в энергетике при ФТИ им. </w:t>
      </w:r>
      <w:proofErr w:type="spellStart"/>
      <w:r w:rsidR="009507B6" w:rsidRPr="009507B6">
        <w:rPr>
          <w:color w:val="000000" w:themeColor="text1"/>
          <w:shd w:val="clear" w:color="auto" w:fill="FFFFFF"/>
          <w:lang w:val="ru-RU"/>
        </w:rPr>
        <w:t>А.Ф.</w:t>
      </w:r>
      <w:r w:rsidR="009507B6" w:rsidRPr="009507B6">
        <w:rPr>
          <w:rStyle w:val="ab"/>
          <w:i w:val="0"/>
          <w:iCs w:val="0"/>
          <w:color w:val="000000" w:themeColor="text1"/>
          <w:shd w:val="clear" w:color="auto" w:fill="FFFFFF"/>
          <w:lang w:val="ru-RU"/>
        </w:rPr>
        <w:t>Иоффе</w:t>
      </w:r>
      <w:proofErr w:type="spellEnd"/>
      <w:r w:rsidR="009507B6" w:rsidRPr="009507B6">
        <w:rPr>
          <w:rStyle w:val="ab"/>
          <w:b/>
          <w:bCs/>
          <w:i w:val="0"/>
          <w:iCs w:val="0"/>
          <w:color w:val="000000" w:themeColor="text1"/>
          <w:shd w:val="clear" w:color="auto" w:fill="FFFFFF"/>
          <w:lang w:val="ru-RU"/>
        </w:rPr>
        <w:t xml:space="preserve">. </w:t>
      </w:r>
      <w:r w:rsidR="009507B6" w:rsidRPr="009507B6">
        <w:rPr>
          <w:color w:val="000000" w:themeColor="text1"/>
          <w:shd w:val="clear" w:color="auto" w:fill="FFFFFF"/>
          <w:lang w:val="ru-RU"/>
        </w:rPr>
        <w:t xml:space="preserve">Электронная почта: </w:t>
      </w:r>
      <w:hyperlink r:id="rId16" w:history="1">
        <w:r w:rsidR="009507B6" w:rsidRPr="000C1415">
          <w:rPr>
            <w:rStyle w:val="a8"/>
          </w:rPr>
          <w:t>e.terukov@hevelsolar.com</w:t>
        </w:r>
      </w:hyperlink>
      <w:r w:rsidR="009507B6">
        <w:rPr>
          <w:color w:val="000000" w:themeColor="text1"/>
        </w:rPr>
        <w:t>.</w:t>
      </w:r>
    </w:p>
    <w:sectPr w:rsidR="00153899" w:rsidRPr="009507B6" w:rsidSect="00153899">
      <w:headerReference w:type="default" r:id="rId17"/>
      <w:footerReference w:type="default" r:id="rId18"/>
      <w:pgSz w:w="11906" w:h="16838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5E9" w:rsidRDefault="006425E9">
      <w:r>
        <w:separator/>
      </w:r>
    </w:p>
  </w:endnote>
  <w:endnote w:type="continuationSeparator" w:id="0">
    <w:p w:rsidR="006425E9" w:rsidRDefault="0064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F5A" w:rsidRDefault="00DF2F5A">
    <w:pPr>
      <w:pStyle w:val="a4"/>
      <w:jc w:val="right"/>
    </w:pPr>
    <w:r>
      <w:rPr>
        <w:rStyle w:val="a3"/>
        <w:rFonts w:ascii="Times New Roman" w:hAnsi="Times New Roman"/>
        <w:sz w:val="16"/>
        <w:szCs w:val="16"/>
      </w:rPr>
      <w:fldChar w:fldCharType="begin"/>
    </w:r>
    <w:r>
      <w:rPr>
        <w:rStyle w:val="a3"/>
        <w:rFonts w:ascii="Times New Roman" w:hAnsi="Times New Roman"/>
        <w:sz w:val="16"/>
        <w:szCs w:val="16"/>
      </w:rPr>
      <w:instrText xml:space="preserve"> TIME \@ "d MMMM yyyy" </w:instrText>
    </w:r>
    <w:r>
      <w:rPr>
        <w:rStyle w:val="a3"/>
        <w:rFonts w:ascii="Times New Roman" w:hAnsi="Times New Roman"/>
        <w:sz w:val="16"/>
        <w:szCs w:val="16"/>
      </w:rPr>
      <w:fldChar w:fldCharType="separate"/>
    </w:r>
    <w:r w:rsidR="007912CB">
      <w:rPr>
        <w:rStyle w:val="a3"/>
        <w:rFonts w:ascii="Times New Roman" w:hAnsi="Times New Roman"/>
        <w:noProof/>
        <w:sz w:val="16"/>
        <w:szCs w:val="16"/>
      </w:rPr>
      <w:t>29 November 2022</w:t>
    </w:r>
    <w:r>
      <w:rPr>
        <w:rStyle w:val="a3"/>
        <w:rFonts w:ascii="Times New Roman" w:hAnsi="Times New Roman"/>
        <w:sz w:val="16"/>
        <w:szCs w:val="16"/>
      </w:rPr>
      <w:fldChar w:fldCharType="end"/>
    </w:r>
    <w:r>
      <w:rPr>
        <w:rStyle w:val="a3"/>
        <w:rFonts w:ascii="Times New Roman" w:hAnsi="Times New Roman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5E9" w:rsidRDefault="006425E9">
      <w:r>
        <w:separator/>
      </w:r>
    </w:p>
  </w:footnote>
  <w:footnote w:type="continuationSeparator" w:id="0">
    <w:p w:rsidR="006425E9" w:rsidRDefault="0064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899" w:rsidRPr="00F5494F" w:rsidRDefault="00153899" w:rsidP="00153899">
    <w:pPr>
      <w:pStyle w:val="a6"/>
    </w:pPr>
    <w:r w:rsidRPr="00F5494F">
      <w:t>УДК 621.383</w:t>
    </w:r>
  </w:p>
  <w:p w:rsidR="00DF2F5A" w:rsidRPr="00707425" w:rsidRDefault="00707425" w:rsidP="00707425">
    <w:pPr>
      <w:pStyle w:val="a6"/>
      <w:rPr>
        <w:lang w:val="ru-RU"/>
      </w:rPr>
    </w:pPr>
    <w:r>
      <w:rPr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E30"/>
    <w:multiLevelType w:val="singleLevel"/>
    <w:tmpl w:val="FFFFFFFF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7725F0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 w16cid:durableId="328486057">
    <w:abstractNumId w:val="0"/>
  </w:num>
  <w:num w:numId="2" w16cid:durableId="78134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22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5A"/>
    <w:rsid w:val="00086708"/>
    <w:rsid w:val="000C4124"/>
    <w:rsid w:val="000D17E0"/>
    <w:rsid w:val="001145BE"/>
    <w:rsid w:val="00153899"/>
    <w:rsid w:val="0015548B"/>
    <w:rsid w:val="00212DB5"/>
    <w:rsid w:val="00256DE9"/>
    <w:rsid w:val="002864B2"/>
    <w:rsid w:val="002C0712"/>
    <w:rsid w:val="002D10E6"/>
    <w:rsid w:val="002F539E"/>
    <w:rsid w:val="0030710D"/>
    <w:rsid w:val="00366363"/>
    <w:rsid w:val="004527E7"/>
    <w:rsid w:val="00485EE9"/>
    <w:rsid w:val="00491366"/>
    <w:rsid w:val="004A1DC8"/>
    <w:rsid w:val="004D4FCE"/>
    <w:rsid w:val="004E683E"/>
    <w:rsid w:val="004F4E95"/>
    <w:rsid w:val="00510598"/>
    <w:rsid w:val="00543226"/>
    <w:rsid w:val="00583C15"/>
    <w:rsid w:val="00611FF3"/>
    <w:rsid w:val="006425E9"/>
    <w:rsid w:val="0067266A"/>
    <w:rsid w:val="00707425"/>
    <w:rsid w:val="0071399D"/>
    <w:rsid w:val="007912CB"/>
    <w:rsid w:val="0079495E"/>
    <w:rsid w:val="007D0E91"/>
    <w:rsid w:val="00806444"/>
    <w:rsid w:val="008148B6"/>
    <w:rsid w:val="0085370E"/>
    <w:rsid w:val="00886353"/>
    <w:rsid w:val="0089288B"/>
    <w:rsid w:val="00896B97"/>
    <w:rsid w:val="008B6C59"/>
    <w:rsid w:val="008C02A7"/>
    <w:rsid w:val="008E7D59"/>
    <w:rsid w:val="009507B6"/>
    <w:rsid w:val="0096227B"/>
    <w:rsid w:val="00A112BE"/>
    <w:rsid w:val="00A6660F"/>
    <w:rsid w:val="00A96035"/>
    <w:rsid w:val="00AB1FB4"/>
    <w:rsid w:val="00AC1DDE"/>
    <w:rsid w:val="00AD2DE3"/>
    <w:rsid w:val="00AF4EDA"/>
    <w:rsid w:val="00AF7157"/>
    <w:rsid w:val="00B012B4"/>
    <w:rsid w:val="00B15A6B"/>
    <w:rsid w:val="00B2053C"/>
    <w:rsid w:val="00B770E5"/>
    <w:rsid w:val="00BC6E75"/>
    <w:rsid w:val="00C51544"/>
    <w:rsid w:val="00C81B04"/>
    <w:rsid w:val="00C95C8E"/>
    <w:rsid w:val="00D26A79"/>
    <w:rsid w:val="00DA2A25"/>
    <w:rsid w:val="00DA3766"/>
    <w:rsid w:val="00DC0644"/>
    <w:rsid w:val="00DD2E03"/>
    <w:rsid w:val="00DD608F"/>
    <w:rsid w:val="00DF2F5A"/>
    <w:rsid w:val="00E30E85"/>
    <w:rsid w:val="00E4520C"/>
    <w:rsid w:val="00EE06EB"/>
    <w:rsid w:val="00EF2DF2"/>
    <w:rsid w:val="00F40A8F"/>
    <w:rsid w:val="00F778CD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454A1"/>
  <w14:defaultImageDpi w14:val="0"/>
  <w15:docId w15:val="{A9037AA2-FEE2-4794-8D49-4FB082B4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DA2A25"/>
    <w:pPr>
      <w:keepNext/>
      <w:spacing w:after="240"/>
      <w:jc w:val="center"/>
      <w:outlineLvl w:val="0"/>
    </w:pPr>
    <w:rPr>
      <w:b/>
      <w:bCs/>
      <w:kern w:val="28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A2A25"/>
    <w:pPr>
      <w:keepNext/>
      <w:spacing w:before="12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  <w:lang w:val="en-GB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en-GB" w:eastAsia="x-none"/>
    </w:rPr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  <w:rPr>
      <w:rFonts w:ascii="TimeRoman" w:hAnsi="TimeRoman" w:cs="TimeRoman"/>
      <w:sz w:val="22"/>
      <w:szCs w:val="22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  <w:sz w:val="24"/>
      <w:szCs w:val="24"/>
      <w:lang w:val="en-GB" w:eastAsia="x-none"/>
    </w:rPr>
  </w:style>
  <w:style w:type="paragraph" w:customStyle="1" w:styleId="Authors">
    <w:name w:val="Authors"/>
    <w:basedOn w:val="a"/>
    <w:uiPriority w:val="99"/>
    <w:rsid w:val="00DA2A25"/>
    <w:pPr>
      <w:spacing w:after="60"/>
      <w:jc w:val="center"/>
    </w:pPr>
    <w:rPr>
      <w:lang w:val="ru-RU"/>
    </w:rPr>
  </w:style>
  <w:style w:type="paragraph" w:customStyle="1" w:styleId="Affiliations">
    <w:name w:val="Affiliations"/>
    <w:basedOn w:val="a"/>
    <w:uiPriority w:val="99"/>
    <w:pPr>
      <w:spacing w:before="60" w:after="60"/>
    </w:pPr>
    <w:rPr>
      <w:lang w:val="ru-RU"/>
    </w:rPr>
  </w:style>
  <w:style w:type="paragraph" w:customStyle="1" w:styleId="BodyText">
    <w:name w:val="BodyText"/>
    <w:basedOn w:val="a"/>
    <w:uiPriority w:val="99"/>
    <w:pPr>
      <w:spacing w:before="20" w:after="20"/>
      <w:ind w:firstLine="284"/>
    </w:pPr>
    <w:rPr>
      <w:lang w:val="ru-RU"/>
    </w:rPr>
  </w:style>
  <w:style w:type="paragraph" w:customStyle="1" w:styleId="Connections">
    <w:name w:val="Connections"/>
    <w:basedOn w:val="Affiliations"/>
    <w:uiPriority w:val="99"/>
    <w:rPr>
      <w:i/>
      <w:iCs/>
    </w:rPr>
  </w:style>
  <w:style w:type="paragraph" w:customStyle="1" w:styleId="NumList">
    <w:name w:val="NumList"/>
    <w:basedOn w:val="a"/>
    <w:uiPriority w:val="99"/>
    <w:pPr>
      <w:numPr>
        <w:numId w:val="1"/>
      </w:numPr>
    </w:pPr>
    <w:rPr>
      <w:lang w:val="ru-RU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  <w:lang w:val="en-GB" w:eastAsia="x-none"/>
    </w:rPr>
  </w:style>
  <w:style w:type="paragraph" w:customStyle="1" w:styleId="Connections10">
    <w:name w:val="Стиль Connections + 10 пт"/>
    <w:basedOn w:val="Connections"/>
    <w:uiPriority w:val="99"/>
    <w:rsid w:val="00DA2A25"/>
    <w:rPr>
      <w:sz w:val="22"/>
      <w:szCs w:val="22"/>
    </w:rPr>
  </w:style>
  <w:style w:type="character" w:styleId="a8">
    <w:name w:val="Hyperlink"/>
    <w:basedOn w:val="a0"/>
    <w:uiPriority w:val="99"/>
    <w:unhideWhenUsed/>
    <w:locked/>
    <w:rsid w:val="004527E7"/>
    <w:rPr>
      <w:rFonts w:cs="Times New Roman"/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27E7"/>
    <w:rPr>
      <w:rFonts w:cs="Times New Roman"/>
      <w:color w:val="605E5C"/>
      <w:shd w:val="clear" w:color="auto" w:fill="E1DFDD"/>
    </w:rPr>
  </w:style>
  <w:style w:type="character" w:customStyle="1" w:styleId="reference-text">
    <w:name w:val="reference-text"/>
    <w:basedOn w:val="a0"/>
    <w:rsid w:val="008E7D59"/>
    <w:rPr>
      <w:rFonts w:cs="Times New Roman"/>
    </w:rPr>
  </w:style>
  <w:style w:type="character" w:styleId="aa">
    <w:name w:val="FollowedHyperlink"/>
    <w:basedOn w:val="a0"/>
    <w:uiPriority w:val="99"/>
    <w:semiHidden/>
    <w:unhideWhenUsed/>
    <w:locked/>
    <w:rsid w:val="008148B6"/>
    <w:rPr>
      <w:rFonts w:cs="Times New Roman"/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locked/>
    <w:rsid w:val="0095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nickiplatonov@gmail.com" TargetMode="External"/><Relationship Id="rId13" Type="http://schemas.openxmlformats.org/officeDocument/2006/relationships/hyperlink" Target="mailto:matukhinvl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bedev_aa@npp-kv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.terukov@hevelsola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kiplatono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rnov_aa@npp-kvant.ru" TargetMode="External"/><Relationship Id="rId10" Type="http://schemas.openxmlformats.org/officeDocument/2006/relationships/hyperlink" Target="mailto:4e.terukov@hevelsola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lebedev_aa@npp-kvant.ru" TargetMode="External"/><Relationship Id="rId14" Type="http://schemas.openxmlformats.org/officeDocument/2006/relationships/hyperlink" Target="mailto:ivanovaleksand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2CDA-024C-4AA4-AE12-7854990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представления тезисов докладов</vt:lpstr>
    </vt:vector>
  </TitlesOfParts>
  <Company>Ioffe Editorial Office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представления тезисов докладов</dc:title>
  <dc:subject/>
  <dc:creator>Valerii G Grigor'yants</dc:creator>
  <cp:keywords/>
  <dc:description/>
  <cp:lastModifiedBy>nickiplatonov@gmail.com</cp:lastModifiedBy>
  <cp:revision>2</cp:revision>
  <cp:lastPrinted>2011-10-06T08:58:00Z</cp:lastPrinted>
  <dcterms:created xsi:type="dcterms:W3CDTF">2022-11-29T19:19:00Z</dcterms:created>
  <dcterms:modified xsi:type="dcterms:W3CDTF">2022-11-29T19:19:00Z</dcterms:modified>
</cp:coreProperties>
</file>