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B4" w:rsidRDefault="007E6E2D">
      <w:pPr>
        <w:pStyle w:val="a3"/>
      </w:pPr>
      <w:r>
        <w:t>Приложение № 1</w:t>
      </w: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</w:p>
    <w:p w:rsidR="005434B4" w:rsidRDefault="007E6E2D">
      <w:pPr>
        <w:pStyle w:val="1"/>
        <w:ind w:left="3644" w:right="3500"/>
      </w:pPr>
      <w:r>
        <w:t>ПАСПОРТ СТАРТАП-ПРОЕКТА</w:t>
      </w: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:rsidR="005434B4" w:rsidRDefault="007E6E2D">
      <w:pPr>
        <w:tabs>
          <w:tab w:val="left" w:pos="1394"/>
        </w:tabs>
        <w:spacing w:before="91"/>
        <w:ind w:right="10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«»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202г.</w:t>
      </w: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5"/>
          <w:szCs w:val="15"/>
        </w:rPr>
      </w:pPr>
    </w:p>
    <w:tbl>
      <w:tblPr>
        <w:tblStyle w:val="a7"/>
        <w:tblW w:w="9780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7"/>
        <w:gridCol w:w="5563"/>
      </w:tblGrid>
      <w:tr w:rsidR="005434B4">
        <w:trPr>
          <w:trHeight w:val="260"/>
        </w:trPr>
        <w:tc>
          <w:tcPr>
            <w:tcW w:w="421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Наименование Получателя гранта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ВО «Казанский государственный энергетический университет»</w:t>
            </w:r>
          </w:p>
        </w:tc>
      </w:tr>
      <w:tr w:rsidR="005434B4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proofErr w:type="spellStart"/>
            <w:r>
              <w:rPr>
                <w:color w:val="000000"/>
              </w:rPr>
              <w:t>Грантополучателя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165 601 9286</w:t>
            </w:r>
          </w:p>
        </w:tc>
      </w:tr>
      <w:tr w:rsidR="005434B4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20" w:lineRule="auto"/>
              <w:ind w:left="110" w:right="1027"/>
              <w:rPr>
                <w:color w:val="000000"/>
              </w:rPr>
            </w:pPr>
            <w:r>
              <w:rPr>
                <w:color w:val="000000"/>
              </w:rPr>
              <w:t>Наименование акселерационной программы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Акселерационная  программа поддержки проектных команд и студенческих инициатив для формирования инновационных продуктов в рамках реализации федерального проекта «Платформа университетского технологического предпринимательства»</w:t>
            </w:r>
          </w:p>
        </w:tc>
      </w:tr>
      <w:tr w:rsidR="005434B4">
        <w:trPr>
          <w:trHeight w:val="236"/>
        </w:trPr>
        <w:tc>
          <w:tcPr>
            <w:tcW w:w="42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5434B4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0" w:lineRule="auto"/>
              <w:ind w:left="110" w:right="147"/>
              <w:rPr>
                <w:color w:val="000000"/>
              </w:rPr>
            </w:pPr>
            <w:r>
              <w:rPr>
                <w:color w:val="000000"/>
              </w:rPr>
              <w:t>Дата начала реализации акселерационной 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03.11.2022</w:t>
            </w:r>
          </w:p>
        </w:tc>
      </w:tr>
      <w:tr w:rsidR="005434B4">
        <w:trPr>
          <w:trHeight w:val="236"/>
        </w:trPr>
        <w:tc>
          <w:tcPr>
            <w:tcW w:w="42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5434B4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9"/>
              </w:tabs>
              <w:spacing w:before="3"/>
              <w:ind w:left="2" w:right="-15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Дата заключения и </w:t>
            </w:r>
            <w:proofErr w:type="spellStart"/>
            <w:r>
              <w:rPr>
                <w:color w:val="000000"/>
                <w:u w:val="single"/>
              </w:rPr>
              <w:t>номерДоговора</w:t>
            </w:r>
            <w:proofErr w:type="spellEnd"/>
            <w:r>
              <w:rPr>
                <w:color w:val="000000"/>
                <w:u w:val="single"/>
              </w:rPr>
              <w:t xml:space="preserve">   «18» октября 2022 г. № 70-2022-000957</w:t>
            </w:r>
            <w:r>
              <w:rPr>
                <w:color w:val="000000"/>
                <w:u w:val="single"/>
              </w:rPr>
              <w:tab/>
            </w:r>
          </w:p>
        </w:tc>
      </w:tr>
    </w:tbl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5"/>
          <w:szCs w:val="15"/>
        </w:rPr>
      </w:pPr>
    </w:p>
    <w:tbl>
      <w:tblPr>
        <w:tblStyle w:val="a8"/>
        <w:tblW w:w="974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6339"/>
      </w:tblGrid>
      <w:tr w:rsidR="005434B4">
        <w:trPr>
          <w:trHeight w:val="460"/>
        </w:trPr>
        <w:tc>
          <w:tcPr>
            <w:tcW w:w="9740" w:type="dxa"/>
            <w:gridSpan w:val="2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2"/>
              </w:tabs>
              <w:ind w:left="310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>Общая информация о стартап-проекте</w:t>
            </w:r>
          </w:p>
        </w:tc>
      </w:tr>
      <w:tr w:rsidR="005434B4">
        <w:trPr>
          <w:trHeight w:val="460"/>
        </w:trPr>
        <w:tc>
          <w:tcPr>
            <w:tcW w:w="3401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9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 Ц</w:t>
            </w:r>
            <w:r>
              <w:rPr>
                <w:sz w:val="20"/>
                <w:szCs w:val="20"/>
              </w:rPr>
              <w:t xml:space="preserve">ифровой двойник энергетических турбомашин </w:t>
            </w:r>
          </w:p>
        </w:tc>
      </w:tr>
      <w:tr w:rsidR="005434B4">
        <w:trPr>
          <w:trHeight w:val="690"/>
        </w:trPr>
        <w:tc>
          <w:tcPr>
            <w:tcW w:w="3401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Команда стартап-проекта</w:t>
            </w:r>
          </w:p>
        </w:tc>
        <w:tc>
          <w:tcPr>
            <w:tcW w:w="6339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Новоселова Марина Сергеевна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Хасанов Айрат Ахметович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5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Абрамов Руслан Александрович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5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Клейн Евгений Васильевич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5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Орлов Александр Сергеевич</w:t>
            </w:r>
          </w:p>
        </w:tc>
      </w:tr>
      <w:tr w:rsidR="005434B4">
        <w:trPr>
          <w:trHeight w:val="401"/>
        </w:trPr>
        <w:tc>
          <w:tcPr>
            <w:tcW w:w="3401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9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EduNet</w:t>
            </w:r>
            <w:proofErr w:type="spellEnd"/>
          </w:p>
        </w:tc>
      </w:tr>
      <w:tr w:rsidR="005434B4">
        <w:trPr>
          <w:trHeight w:val="815"/>
        </w:trPr>
        <w:tc>
          <w:tcPr>
            <w:tcW w:w="3401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Описание стартап-проекта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(технология/ услуга/продукт)</w:t>
            </w:r>
          </w:p>
        </w:tc>
        <w:tc>
          <w:tcPr>
            <w:tcW w:w="6339" w:type="dxa"/>
          </w:tcPr>
          <w:p w:rsidR="005434B4" w:rsidRDefault="007E6E2D">
            <w:pPr>
              <w:widowControl/>
              <w:spacing w:line="276" w:lineRule="auto"/>
              <w:jc w:val="both"/>
            </w:pPr>
            <w:r>
              <w:rPr>
                <w:b/>
              </w:rPr>
              <w:t xml:space="preserve">Научно-техническая проработанность проекта: </w:t>
            </w:r>
            <w:r>
              <w:t xml:space="preserve">в рамках проведенного анализа литературы и патентов было выявлено, что использование сочетания 3D-модели и расчетов режимов работы зависит от материально-технической </w:t>
            </w:r>
            <w:proofErr w:type="gramStart"/>
            <w:r>
              <w:t>оснащенности  обр</w:t>
            </w:r>
            <w:r>
              <w:t>азовательной</w:t>
            </w:r>
            <w:proofErr w:type="gramEnd"/>
            <w:r>
              <w:t xml:space="preserve"> организации. </w:t>
            </w:r>
          </w:p>
          <w:p w:rsidR="005434B4" w:rsidRDefault="005434B4">
            <w:pPr>
              <w:widowControl/>
              <w:spacing w:line="276" w:lineRule="auto"/>
              <w:jc w:val="both"/>
            </w:pPr>
          </w:p>
          <w:p w:rsidR="005434B4" w:rsidRDefault="007E6E2D">
            <w:pPr>
              <w:widowControl/>
              <w:spacing w:line="276" w:lineRule="auto"/>
              <w:jc w:val="both"/>
            </w:pPr>
            <w:r>
              <w:rPr>
                <w:b/>
              </w:rPr>
              <w:t xml:space="preserve">Принцип действия проекта: </w:t>
            </w:r>
            <w:r>
              <w:t xml:space="preserve">цифровой двойник турбомашины позволяет изучить конструкцию и параметры энергетической установки; провести внешний и внутренний осмотр установки; провести сборку и разборку; </w:t>
            </w:r>
            <w:r>
              <w:t>узнать на основе связи расчет</w:t>
            </w:r>
            <w:r>
              <w:t>ной части и геометрической модели конструктивные особенности энергетической установки в целом и ее отдельных узлов.</w:t>
            </w:r>
          </w:p>
          <w:p w:rsidR="005434B4" w:rsidRDefault="005434B4">
            <w:pPr>
              <w:widowControl/>
              <w:spacing w:line="276" w:lineRule="auto"/>
              <w:jc w:val="both"/>
            </w:pPr>
          </w:p>
          <w:p w:rsidR="005434B4" w:rsidRDefault="007E6E2D">
            <w:pPr>
              <w:widowControl/>
              <w:spacing w:line="276" w:lineRule="auto"/>
              <w:jc w:val="both"/>
            </w:pPr>
            <w:r>
              <w:rPr>
                <w:b/>
              </w:rPr>
              <w:t xml:space="preserve">Особенность проекта: </w:t>
            </w:r>
            <w:r>
              <w:t>при создании цифрового двойника используется методика расчета газодинамических параметров с отработкой алгоритма выбора ключевых параметров, влияющих на геометрию отдельных узлов турбины.  Готовая 3D-модель может быть использована для прочностного анализа,</w:t>
            </w:r>
            <w:r>
              <w:t xml:space="preserve"> а также проверки режимных параметров и эффективности работы в АС ГРЭТ.</w:t>
            </w:r>
          </w:p>
          <w:p w:rsidR="005434B4" w:rsidRDefault="005434B4">
            <w:pPr>
              <w:widowControl/>
              <w:spacing w:line="276" w:lineRule="auto"/>
              <w:jc w:val="both"/>
            </w:pPr>
          </w:p>
          <w:p w:rsidR="005434B4" w:rsidRDefault="007E6E2D">
            <w:pPr>
              <w:widowControl/>
              <w:spacing w:line="276" w:lineRule="auto"/>
              <w:jc w:val="both"/>
            </w:pPr>
            <w:r>
              <w:t>В рамках стартап-проекта планируется создание базы данных различных геометрических моделей отдельных узлов одной ГТУ-прототипа; визуализация сборки-разборки ГТУ с возможностью изучени</w:t>
            </w:r>
            <w:r>
              <w:t>я конструкции каждого элемента в отдельности.</w:t>
            </w:r>
          </w:p>
        </w:tc>
      </w:tr>
      <w:tr w:rsidR="005434B4">
        <w:trPr>
          <w:trHeight w:val="904"/>
        </w:trPr>
        <w:tc>
          <w:tcPr>
            <w:tcW w:w="3401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42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Актуальность стартап-проекта </w:t>
            </w:r>
            <w:r>
              <w:rPr>
                <w:color w:val="000000"/>
                <w:sz w:val="20"/>
                <w:szCs w:val="20"/>
              </w:rPr>
              <w:t>(описание проблемы и решения проблемы)</w:t>
            </w:r>
          </w:p>
        </w:tc>
        <w:tc>
          <w:tcPr>
            <w:tcW w:w="6339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студентов по направлению подготовки "Энергетическое машиностроение" связано с проектной деятельностью и получением навыков конструирования деталей ГТУ.  При этом не всегда студенты имеют возможность увидеть энергетическую установку «в работе». </w:t>
            </w:r>
            <w:r w:rsidR="003F4FDA">
              <w:rPr>
                <w:sz w:val="20"/>
                <w:szCs w:val="20"/>
              </w:rPr>
              <w:t>Кроме того,</w:t>
            </w:r>
            <w:r>
              <w:rPr>
                <w:sz w:val="20"/>
                <w:szCs w:val="20"/>
              </w:rPr>
              <w:t xml:space="preserve"> профильные кафедры должны иметь подходящие площади для размещения хотя бы отдельных узлов турбины. Даже если ВУЗ организовывает экскурсию на энергетическое предприятие, то всё что студенты видят – это корпус энергетической установки.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вне</w:t>
            </w:r>
            <w:r>
              <w:rPr>
                <w:color w:val="000000"/>
                <w:sz w:val="20"/>
                <w:szCs w:val="20"/>
              </w:rPr>
              <w:t xml:space="preserve">дрение </w:t>
            </w:r>
            <w:r>
              <w:rPr>
                <w:sz w:val="20"/>
                <w:szCs w:val="20"/>
              </w:rPr>
              <w:t>цифрового</w:t>
            </w:r>
            <w:r>
              <w:rPr>
                <w:color w:val="000000"/>
                <w:sz w:val="20"/>
                <w:szCs w:val="20"/>
              </w:rPr>
              <w:t xml:space="preserve"> двойника Г</w:t>
            </w:r>
            <w:r>
              <w:rPr>
                <w:sz w:val="20"/>
                <w:szCs w:val="20"/>
              </w:rPr>
              <w:t xml:space="preserve">ТУ </w:t>
            </w:r>
            <w:r>
              <w:rPr>
                <w:color w:val="000000"/>
                <w:sz w:val="20"/>
                <w:szCs w:val="20"/>
              </w:rPr>
              <w:t>позволит обучающимся лучше разобраться в строении и принципе работы энергетической установки.</w:t>
            </w:r>
          </w:p>
        </w:tc>
      </w:tr>
      <w:tr w:rsidR="005434B4">
        <w:trPr>
          <w:trHeight w:val="460"/>
        </w:trPr>
        <w:tc>
          <w:tcPr>
            <w:tcW w:w="3401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Технологические риски</w:t>
            </w:r>
          </w:p>
        </w:tc>
        <w:tc>
          <w:tcPr>
            <w:tcW w:w="6339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обеспечения стабильной работы могут потребоваться большие вычислительные мощности. Может возникнуть конфл</w:t>
            </w:r>
            <w:r>
              <w:rPr>
                <w:color w:val="000000"/>
                <w:sz w:val="20"/>
                <w:szCs w:val="20"/>
              </w:rPr>
              <w:t>икт модулей софта используемых для расчёта и построения цифровой модели. Базы данных, которые используется в программной системе, не обеспечивают обработку ожидаемого объема транзакций.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Программные компоненты, которые используются повторно, имеют дефекты, </w:t>
            </w:r>
            <w:r>
              <w:rPr>
                <w:color w:val="000000"/>
                <w:sz w:val="20"/>
                <w:szCs w:val="20"/>
              </w:rPr>
              <w:t>ограничивающие их функ</w:t>
            </w:r>
            <w:r>
              <w:rPr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ональные возможности.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 газотурбинных установок с помощью программного комплекса может иметь погрешности.</w:t>
            </w:r>
          </w:p>
        </w:tc>
      </w:tr>
      <w:tr w:rsidR="005434B4">
        <w:trPr>
          <w:trHeight w:val="460"/>
        </w:trPr>
        <w:tc>
          <w:tcPr>
            <w:tcW w:w="3401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Потенциальные заказчики</w:t>
            </w:r>
          </w:p>
        </w:tc>
        <w:tc>
          <w:tcPr>
            <w:tcW w:w="6339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Высшие учебные заведения страны, обучающие центры</w:t>
            </w:r>
            <w:r>
              <w:rPr>
                <w:sz w:val="20"/>
                <w:szCs w:val="20"/>
              </w:rPr>
              <w:t xml:space="preserve"> для повышения квалификации преподавателей профильного направления подготовки студентов "Энергетическое машиностроение".</w:t>
            </w:r>
          </w:p>
        </w:tc>
      </w:tr>
      <w:tr w:rsidR="005434B4">
        <w:trPr>
          <w:trHeight w:val="1178"/>
        </w:trPr>
        <w:tc>
          <w:tcPr>
            <w:tcW w:w="3401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59" w:lineRule="auto"/>
              <w:ind w:left="107" w:right="32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Бизнес модель стартап-проекта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(как вы планируете зарабатывать посредствам реализации данного проекта)</w:t>
            </w:r>
          </w:p>
        </w:tc>
        <w:tc>
          <w:tcPr>
            <w:tcW w:w="6339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Клю</w:t>
            </w:r>
            <w:r>
              <w:rPr>
                <w:b/>
                <w:sz w:val="20"/>
                <w:szCs w:val="20"/>
              </w:rPr>
              <w:t>чевые партнёры</w:t>
            </w:r>
            <w:r>
              <w:rPr>
                <w:sz w:val="20"/>
                <w:szCs w:val="20"/>
              </w:rPr>
              <w:t>:</w:t>
            </w:r>
            <w:r w:rsidR="003F4FDA">
              <w:rPr>
                <w:sz w:val="20"/>
                <w:szCs w:val="20"/>
              </w:rPr>
              <w:t xml:space="preserve"> АС ГРЭТ, </w:t>
            </w:r>
            <w:proofErr w:type="spellStart"/>
            <w:r w:rsidRPr="007E6E2D">
              <w:rPr>
                <w:sz w:val="20"/>
                <w:szCs w:val="20"/>
              </w:rPr>
              <w:t>Аскон</w:t>
            </w:r>
            <w:proofErr w:type="spellEnd"/>
            <w:r>
              <w:rPr>
                <w:sz w:val="20"/>
                <w:szCs w:val="20"/>
              </w:rPr>
              <w:t>, ФГБОУ ВО КГЭУ.</w:t>
            </w:r>
            <w:bookmarkStart w:id="0" w:name="_GoBack"/>
            <w:bookmarkEnd w:id="0"/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434B4" w:rsidRPr="007E6E2D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Ключевые виды деятельности: </w:t>
            </w:r>
            <w:r>
              <w:rPr>
                <w:sz w:val="20"/>
                <w:szCs w:val="20"/>
              </w:rPr>
              <w:t>Основной вид деятельности – это создание и техническая поддержка программного обеспечения АС ЦДЭТ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5434B4" w:rsidRPr="00D344CF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Ключевые ресурсы:</w:t>
            </w:r>
            <w:r w:rsidR="00D344CF">
              <w:rPr>
                <w:b/>
                <w:sz w:val="20"/>
                <w:szCs w:val="20"/>
              </w:rPr>
              <w:t xml:space="preserve"> </w:t>
            </w:r>
            <w:r w:rsidR="00D344CF" w:rsidRPr="00D344CF">
              <w:rPr>
                <w:sz w:val="20"/>
                <w:szCs w:val="20"/>
              </w:rPr>
              <w:t>Материальные:</w:t>
            </w:r>
            <w:r w:rsidR="00D344CF">
              <w:rPr>
                <w:b/>
                <w:sz w:val="20"/>
                <w:szCs w:val="20"/>
              </w:rPr>
              <w:t xml:space="preserve"> </w:t>
            </w:r>
            <w:r w:rsidR="00D344CF">
              <w:rPr>
                <w:sz w:val="20"/>
                <w:szCs w:val="20"/>
              </w:rPr>
              <w:t xml:space="preserve">вычислительные мощности. Интеллектуальные: АС ЦДЭТ. Человеческие: команда </w:t>
            </w:r>
            <w:r w:rsidR="00D344CF" w:rsidRPr="00D344CF">
              <w:rPr>
                <w:sz w:val="20"/>
                <w:szCs w:val="20"/>
              </w:rPr>
              <w:t>стартап-проекте</w:t>
            </w:r>
            <w:r w:rsidR="00D344CF">
              <w:rPr>
                <w:sz w:val="20"/>
                <w:szCs w:val="20"/>
              </w:rPr>
              <w:t>. Для реализации проекта</w:t>
            </w:r>
            <w:r>
              <w:rPr>
                <w:sz w:val="20"/>
                <w:szCs w:val="20"/>
              </w:rPr>
              <w:t xml:space="preserve"> и налаживании каналов сбыта требуются финансовые ресурсы. 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5434B4" w:rsidRPr="003F4FDA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Ценностное предложение:</w:t>
            </w:r>
            <w:r w:rsidR="003F4FDA">
              <w:rPr>
                <w:b/>
                <w:sz w:val="20"/>
                <w:szCs w:val="20"/>
              </w:rPr>
              <w:t xml:space="preserve"> </w:t>
            </w:r>
            <w:r w:rsidR="003F4FDA" w:rsidRPr="003F4FDA">
              <w:rPr>
                <w:sz w:val="20"/>
                <w:szCs w:val="20"/>
              </w:rPr>
              <w:t>Ценность АС ЦДЭТ</w:t>
            </w:r>
            <w:r w:rsidR="003F4FDA">
              <w:rPr>
                <w:sz w:val="20"/>
                <w:szCs w:val="20"/>
              </w:rPr>
              <w:t xml:space="preserve"> заключается в том, что она наглядно показывает работу энергетической установки, позволяет изучить конструкцию и параметры энергетической установки; провести внутренний и внешний осмотр; провести сборку и разборку;</w:t>
            </w:r>
            <w:r w:rsidR="003F4FDA">
              <w:t xml:space="preserve"> </w:t>
            </w:r>
            <w:r w:rsidR="003F4FDA" w:rsidRPr="003F4FDA">
              <w:rPr>
                <w:sz w:val="20"/>
                <w:szCs w:val="20"/>
              </w:rPr>
              <w:t>узнать на основе связи расчетной части и геометрической модели конструктивные особенности энергетической установки в целом и ее отдельных узлов.</w:t>
            </w:r>
            <w:r w:rsidR="003F4FDA">
              <w:rPr>
                <w:sz w:val="20"/>
                <w:szCs w:val="20"/>
              </w:rPr>
              <w:t xml:space="preserve"> АС ЦДЭТ это уникальное предложение на рынке, потому что объединяет в себе множество необходимых</w:t>
            </w:r>
            <w:r w:rsidR="00D344CF">
              <w:rPr>
                <w:sz w:val="20"/>
                <w:szCs w:val="20"/>
              </w:rPr>
              <w:t xml:space="preserve"> для обучения модулей и позволяет заменить собой физическую лабораторию с энергетической установкой. АС ЦДЭТ полностью удовлетворяет все потребности, которые возникают в процессе обучения специалистов.</w:t>
            </w:r>
            <w:r w:rsidR="003F4FDA">
              <w:rPr>
                <w:sz w:val="20"/>
                <w:szCs w:val="20"/>
              </w:rPr>
              <w:t xml:space="preserve"> 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Взаимоотношения с клиентами:</w:t>
            </w:r>
            <w:r w:rsidR="00CA5A60">
              <w:rPr>
                <w:b/>
                <w:sz w:val="20"/>
                <w:szCs w:val="20"/>
              </w:rPr>
              <w:t xml:space="preserve"> </w:t>
            </w:r>
            <w:r w:rsidR="00CA5A60" w:rsidRPr="00CA5A60">
              <w:rPr>
                <w:sz w:val="20"/>
                <w:szCs w:val="20"/>
              </w:rPr>
              <w:t>Клиентам будет предоставлена полная персональная поддержка на время действия лицензионного соглашения.</w:t>
            </w:r>
          </w:p>
          <w:p w:rsidR="003F4FDA" w:rsidRDefault="003F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5434B4" w:rsidRPr="00D344CF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Каналы сбыта:</w:t>
            </w:r>
            <w:r w:rsidR="00D344CF">
              <w:rPr>
                <w:b/>
                <w:sz w:val="20"/>
                <w:szCs w:val="20"/>
              </w:rPr>
              <w:t xml:space="preserve"> </w:t>
            </w:r>
            <w:r w:rsidR="00D344CF" w:rsidRPr="00D344CF">
              <w:rPr>
                <w:sz w:val="20"/>
                <w:szCs w:val="20"/>
              </w:rPr>
              <w:t>Из-за того, что АС ЦДЭТ является программным комплексом, то</w:t>
            </w:r>
            <w:r w:rsidR="00D344CF">
              <w:rPr>
                <w:b/>
                <w:sz w:val="20"/>
                <w:szCs w:val="20"/>
              </w:rPr>
              <w:t xml:space="preserve"> </w:t>
            </w:r>
            <w:r w:rsidR="00D344CF" w:rsidRPr="00D344CF">
              <w:rPr>
                <w:sz w:val="20"/>
                <w:szCs w:val="20"/>
              </w:rPr>
              <w:t>основным каналом сбыта является</w:t>
            </w:r>
            <w:r w:rsidR="00D344CF">
              <w:rPr>
                <w:b/>
                <w:sz w:val="20"/>
                <w:szCs w:val="20"/>
              </w:rPr>
              <w:t xml:space="preserve"> </w:t>
            </w:r>
            <w:r w:rsidR="00D344CF">
              <w:rPr>
                <w:sz w:val="20"/>
                <w:szCs w:val="20"/>
              </w:rPr>
              <w:t xml:space="preserve">распространение </w:t>
            </w:r>
            <w:proofErr w:type="gramStart"/>
            <w:r w:rsidR="00D344CF">
              <w:rPr>
                <w:sz w:val="20"/>
                <w:szCs w:val="20"/>
              </w:rPr>
              <w:t>по средством</w:t>
            </w:r>
            <w:proofErr w:type="gramEnd"/>
            <w:r w:rsidR="00D344CF">
              <w:rPr>
                <w:sz w:val="20"/>
                <w:szCs w:val="20"/>
              </w:rPr>
              <w:t xml:space="preserve"> сети Интернет.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Потребительские сегменты:</w:t>
            </w:r>
            <w:r w:rsidR="00CA5A60">
              <w:rPr>
                <w:b/>
                <w:sz w:val="20"/>
                <w:szCs w:val="20"/>
              </w:rPr>
              <w:t xml:space="preserve"> </w:t>
            </w:r>
            <w:r w:rsidR="00CA5A60" w:rsidRPr="00CA5A60">
              <w:rPr>
                <w:sz w:val="20"/>
                <w:szCs w:val="20"/>
              </w:rPr>
              <w:t>Высшие учебные заведения страны, обучающие центры для повышения квалификации преподавателей профильного направления подготовки студентов "Энергетическое машиностроение".</w:t>
            </w:r>
          </w:p>
          <w:p w:rsidR="003F4FDA" w:rsidRPr="00CA5A60" w:rsidRDefault="003F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Потоки поступления доходов:</w:t>
            </w:r>
            <w:r w:rsidR="00CA5A60">
              <w:rPr>
                <w:b/>
                <w:sz w:val="20"/>
                <w:szCs w:val="20"/>
              </w:rPr>
              <w:t xml:space="preserve"> </w:t>
            </w:r>
            <w:r w:rsidR="00CA5A60">
              <w:rPr>
                <w:sz w:val="20"/>
                <w:szCs w:val="20"/>
              </w:rPr>
              <w:t>Продажа лицензионного соглашения на временное пользование программным комплексом АС ЦДЭТ в качестве автоматизированного стенда для лабораторных и практических занятий, либо полноценного электронного ресурса для размещения на образовательных площадках.</w:t>
            </w:r>
          </w:p>
          <w:p w:rsidR="003F4FDA" w:rsidRPr="00CA5A60" w:rsidRDefault="003F4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434B4" w:rsidRDefault="007E6E2D" w:rsidP="00CA5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A5A60">
              <w:rPr>
                <w:b/>
                <w:color w:val="000000"/>
                <w:sz w:val="20"/>
                <w:szCs w:val="20"/>
              </w:rPr>
              <w:t>Структура издержек:</w:t>
            </w:r>
            <w:r w:rsidR="00CA5A60" w:rsidRPr="00CA5A60">
              <w:rPr>
                <w:color w:val="000000"/>
                <w:sz w:val="20"/>
                <w:szCs w:val="20"/>
              </w:rPr>
              <w:t xml:space="preserve"> Получение исходных данных для 3D-моделирования на основе расчетов. Расчёты установки. Построение 3D-модели. Создание учебного пособия.</w:t>
            </w:r>
          </w:p>
        </w:tc>
      </w:tr>
      <w:tr w:rsidR="005434B4">
        <w:trPr>
          <w:trHeight w:val="1151"/>
        </w:trPr>
        <w:tc>
          <w:tcPr>
            <w:tcW w:w="3401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31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Обоснование соответствия идеи направлению </w:t>
            </w:r>
            <w:r>
              <w:rPr>
                <w:color w:val="000000"/>
                <w:sz w:val="20"/>
                <w:szCs w:val="20"/>
              </w:rPr>
              <w:t>(описание основных технологических параметров)</w:t>
            </w:r>
          </w:p>
        </w:tc>
        <w:tc>
          <w:tcPr>
            <w:tcW w:w="6339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 ЦДЭТ позволяет провести профильную подготовку студентов и повышение квалификации </w:t>
            </w:r>
            <w:r>
              <w:rPr>
                <w:sz w:val="20"/>
                <w:szCs w:val="20"/>
              </w:rPr>
              <w:t>преподавателей, освоить навыки проектной деятельности, расчета конструкции деталей ГТУ с помощью собственной САПР</w:t>
            </w:r>
          </w:p>
        </w:tc>
      </w:tr>
      <w:tr w:rsidR="005434B4">
        <w:trPr>
          <w:trHeight w:val="554"/>
        </w:trPr>
        <w:tc>
          <w:tcPr>
            <w:tcW w:w="9740" w:type="dxa"/>
            <w:gridSpan w:val="2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Порядок и структура финансирования</w:t>
            </w:r>
          </w:p>
        </w:tc>
      </w:tr>
      <w:tr w:rsidR="005434B4">
        <w:trPr>
          <w:trHeight w:val="434"/>
        </w:trPr>
        <w:tc>
          <w:tcPr>
            <w:tcW w:w="3401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финансового обеспечения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 рублей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</w:t>
            </w:r>
            <w:proofErr w:type="gramStart"/>
            <w:r>
              <w:rPr>
                <w:sz w:val="20"/>
                <w:szCs w:val="20"/>
              </w:rPr>
              <w:t>необходимостью  постоянного</w:t>
            </w:r>
            <w:proofErr w:type="gramEnd"/>
            <w:r>
              <w:rPr>
                <w:sz w:val="20"/>
                <w:szCs w:val="20"/>
              </w:rPr>
              <w:t xml:space="preserve"> обновления информации о существующих технологиях производства энергетических машин, возможного </w:t>
            </w:r>
            <w:proofErr w:type="spellStart"/>
            <w:r>
              <w:rPr>
                <w:sz w:val="20"/>
                <w:szCs w:val="20"/>
              </w:rPr>
              <w:t>импортозамещения</w:t>
            </w:r>
            <w:proofErr w:type="spellEnd"/>
            <w:r>
              <w:rPr>
                <w:sz w:val="20"/>
                <w:szCs w:val="20"/>
              </w:rPr>
              <w:t xml:space="preserve"> деталей ГТУ, эксплуатации в разных климатических условиях, потенциал «рынка» оценивается очень высоким.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рискам можно отнести   уровень материально-технической оснащенности транспортные издержки и появление большого числа конкурентов.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434B4" w:rsidRDefault="007E6E2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101600</wp:posOffset>
                </wp:positionV>
                <wp:extent cx="8890" cy="12700"/>
                <wp:effectExtent l="0" t="0" r="0" b="0"/>
                <wp:wrapTopAndBottom distT="0" distB="0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75555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34B4" w:rsidRDefault="005434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2pt;margin-top:8pt;width:.7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" fillcolor="black" stroked="f">
                <v:textbox inset="2.53958mm,2.53958mm,2.53958mm,2.53958mm">
                  <w:txbxContent>
                    <w:p w:rsidR="005434B4" w:rsidRDefault="005434B4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434B4" w:rsidRDefault="007E6E2D">
      <w:pPr>
        <w:rPr>
          <w:sz w:val="20"/>
          <w:szCs w:val="20"/>
        </w:rPr>
      </w:pPr>
      <w:r>
        <w:rPr>
          <w:sz w:val="20"/>
          <w:szCs w:val="20"/>
        </w:rPr>
        <w:t>1Бизнес-модель стартап-проекта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</w:p>
    <w:p w:rsidR="005434B4" w:rsidRDefault="007E6E2D">
      <w:pPr>
        <w:rPr>
          <w:sz w:val="20"/>
          <w:szCs w:val="20"/>
        </w:rPr>
        <w:sectPr w:rsidR="005434B4">
          <w:pgSz w:w="11900" w:h="16840"/>
          <w:pgMar w:top="1000" w:right="740" w:bottom="280" w:left="880" w:header="720" w:footer="720" w:gutter="0"/>
          <w:pgNumType w:start="1"/>
          <w:cols w:space="720"/>
        </w:sectPr>
      </w:pPr>
      <w:r>
        <w:rPr>
          <w:sz w:val="20"/>
          <w:szCs w:val="20"/>
        </w:rPr>
        <w:t>2 Объем финансового обеспечения достаточно указать для первог</w:t>
      </w:r>
      <w:r>
        <w:rPr>
          <w:sz w:val="20"/>
          <w:szCs w:val="20"/>
        </w:rPr>
        <w:t>о этапа - дойти до MVP</w:t>
      </w: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9"/>
        <w:tblW w:w="974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6339"/>
      </w:tblGrid>
      <w:tr w:rsidR="005434B4">
        <w:trPr>
          <w:trHeight w:val="410"/>
        </w:trPr>
        <w:tc>
          <w:tcPr>
            <w:tcW w:w="3401" w:type="dxa"/>
          </w:tcPr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339" w:type="dxa"/>
          </w:tcPr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0"/>
              </w:tabs>
              <w:spacing w:line="218" w:lineRule="auto"/>
              <w:rPr>
                <w:color w:val="000000"/>
                <w:sz w:val="20"/>
                <w:szCs w:val="20"/>
              </w:rPr>
            </w:pPr>
          </w:p>
        </w:tc>
      </w:tr>
      <w:tr w:rsidR="005434B4">
        <w:trPr>
          <w:trHeight w:val="654"/>
        </w:trPr>
        <w:tc>
          <w:tcPr>
            <w:tcW w:w="3401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right="69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9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Грантовая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поддержка</w:t>
            </w:r>
          </w:p>
        </w:tc>
      </w:tr>
      <w:tr w:rsidR="005434B4">
        <w:trPr>
          <w:trHeight w:val="690"/>
        </w:trPr>
        <w:tc>
          <w:tcPr>
            <w:tcW w:w="3401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 w:right="4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Рынок обучения обладает отличным потенциалом, наблюдается тенденция в </w:t>
            </w:r>
            <w:proofErr w:type="spellStart"/>
            <w:r>
              <w:rPr>
                <w:color w:val="000000"/>
                <w:sz w:val="18"/>
                <w:szCs w:val="18"/>
              </w:rPr>
              <w:t>цифровизации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подхода к обучению.</w:t>
            </w:r>
          </w:p>
        </w:tc>
      </w:tr>
    </w:tbl>
    <w:p w:rsidR="005434B4" w:rsidRDefault="007E6E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2118360</wp:posOffset>
                </wp:positionV>
                <wp:extent cx="6190615" cy="3290570"/>
                <wp:effectExtent l="0" t="0" r="0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5" cy="3290570"/>
                          <a:chOff x="2250675" y="2134700"/>
                          <a:chExt cx="6190650" cy="329060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250693" y="2134715"/>
                            <a:ext cx="6190615" cy="3290570"/>
                            <a:chOff x="1027" y="3336"/>
                            <a:chExt cx="9749" cy="5182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1027" y="3336"/>
                              <a:ext cx="9725" cy="5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434B4" w:rsidRDefault="005434B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олилиния 3"/>
                          <wps:cNvSpPr/>
                          <wps:spPr>
                            <a:xfrm>
                              <a:off x="1027" y="3336"/>
                              <a:ext cx="9749" cy="5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9" h="5182" extrusionOk="0">
                                  <a:moveTo>
                                    <a:pt x="9749" y="0"/>
                                  </a:moveTo>
                                  <a:lnTo>
                                    <a:pt x="9739" y="0"/>
                                  </a:lnTo>
                                  <a:lnTo>
                                    <a:pt x="9739" y="10"/>
                                  </a:lnTo>
                                  <a:lnTo>
                                    <a:pt x="9739" y="5172"/>
                                  </a:lnTo>
                                  <a:lnTo>
                                    <a:pt x="10" y="517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39" y="10"/>
                                  </a:lnTo>
                                  <a:lnTo>
                                    <a:pt x="973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2"/>
                                  </a:lnTo>
                                  <a:lnTo>
                                    <a:pt x="10" y="5182"/>
                                  </a:lnTo>
                                  <a:lnTo>
                                    <a:pt x="9739" y="5182"/>
                                  </a:lnTo>
                                  <a:lnTo>
                                    <a:pt x="9749" y="5182"/>
                                  </a:lnTo>
                                  <a:lnTo>
                                    <a:pt x="97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4425" y="3597"/>
                              <a:ext cx="3691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434B4" w:rsidRDefault="007E6E2D">
                                <w:pPr>
                                  <w:spacing w:line="266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3. 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Календарный план стартап-проекта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1500" y="7699"/>
                              <a:ext cx="5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434B4" w:rsidRDefault="007E6E2D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Итого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7" style="position:absolute;margin-left:51.35pt;margin-top:166.8pt;width:487.45pt;height:259.1pt;z-index:-251657216;mso-wrap-distance-left:0;mso-wrap-distance-right:0;mso-position-horizontal-relative:page;mso-position-vertical-relative:page" coordorigin="22506,21347" coordsize="61906,3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">
                <v:group id="Группа 1" o:spid="_x0000_s1028" style="position:absolute;left:22506;top:21347;width:61907;height:32905" coordorigin="1027,3336" coordsize="9749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9" style="position:absolute;left:1027;top:3336;width:9725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5434B4" w:rsidRDefault="005434B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Полилиния 3" o:spid="_x0000_s1030" style="position:absolute;left:1027;top:3336;width:9749;height:5182;visibility:visible;mso-wrap-style:square;v-text-anchor:middle" coordsize="9749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" path="m9749,r-10,l9739,10r,5162l10,5172,10,10r9729,l9739,,10,,,,,5182r10,l9739,5182r10,l9749,xe" fillcolor="black" stroked="f">
                    <v:path arrowok="t" o:extrusionok="f"/>
                  </v:shape>
                  <v:rect id="Прямоугольник 4" o:spid="_x0000_s1031" style="position:absolute;left:4425;top:3597;width:36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5434B4" w:rsidRDefault="007E6E2D">
                          <w:pPr>
                            <w:spacing w:line="266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3.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Календарный план стартап-проекта</w:t>
                          </w:r>
                        </w:p>
                      </w:txbxContent>
                    </v:textbox>
                  </v:rect>
                  <v:rect id="Прямоугольник 5" o:spid="_x0000_s1032" style="position:absolute;left:1500;top:7699;width:5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5434B4" w:rsidRDefault="007E6E2D">
                          <w:pPr>
                            <w:spacing w:line="221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Итого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5927090</wp:posOffset>
                </wp:positionV>
                <wp:extent cx="6190615" cy="3005455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5" cy="3005455"/>
                          <a:chOff x="2250675" y="2276625"/>
                          <a:chExt cx="6190650" cy="3004850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2250693" y="2276638"/>
                            <a:ext cx="6190615" cy="3005455"/>
                            <a:chOff x="1027" y="9333"/>
                            <a:chExt cx="9749" cy="4733"/>
                          </a:xfrm>
                        </wpg:grpSpPr>
                        <wps:wsp>
                          <wps:cNvPr id="7" name="Прямоугольник 7"/>
                          <wps:cNvSpPr/>
                          <wps:spPr>
                            <a:xfrm>
                              <a:off x="1027" y="9334"/>
                              <a:ext cx="9725" cy="4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434B4" w:rsidRDefault="005434B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Полилиния 8"/>
                          <wps:cNvSpPr/>
                          <wps:spPr>
                            <a:xfrm>
                              <a:off x="1027" y="9333"/>
                              <a:ext cx="9749" cy="47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9" h="4733" extrusionOk="0">
                                  <a:moveTo>
                                    <a:pt x="9749" y="0"/>
                                  </a:moveTo>
                                  <a:lnTo>
                                    <a:pt x="973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3"/>
                                  </a:lnTo>
                                  <a:lnTo>
                                    <a:pt x="0" y="4732"/>
                                  </a:lnTo>
                                  <a:lnTo>
                                    <a:pt x="10" y="4732"/>
                                  </a:lnTo>
                                  <a:lnTo>
                                    <a:pt x="9739" y="4732"/>
                                  </a:lnTo>
                                  <a:lnTo>
                                    <a:pt x="9739" y="4723"/>
                                  </a:lnTo>
                                  <a:lnTo>
                                    <a:pt x="10" y="472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9739" y="9"/>
                                  </a:lnTo>
                                  <a:lnTo>
                                    <a:pt x="9739" y="4723"/>
                                  </a:lnTo>
                                  <a:lnTo>
                                    <a:pt x="9739" y="4732"/>
                                  </a:lnTo>
                                  <a:lnTo>
                                    <a:pt x="9749" y="4732"/>
                                  </a:lnTo>
                                  <a:lnTo>
                                    <a:pt x="9749" y="4723"/>
                                  </a:lnTo>
                                  <a:lnTo>
                                    <a:pt x="97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2150" y="9594"/>
                              <a:ext cx="8242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434B4" w:rsidRDefault="007E6E2D">
                                <w:pPr>
                                  <w:spacing w:line="266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4. 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Предполагаемая структура уставного капитала компании (в рамках стартап-проекта)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33" style="position:absolute;margin-left:51.35pt;margin-top:466.7pt;width:487.45pt;height:236.65pt;z-index:-251656192;mso-wrap-distance-left:0;mso-wrap-distance-right:0;mso-position-horizontal-relative:page;mso-position-vertical-relative:page" coordorigin="22506,22766" coordsize="61906,30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">
                <v:group id="Группа 6" o:spid="_x0000_s1034" style="position:absolute;left:22506;top:22766;width:61907;height:30054" coordorigin="1027,9333" coordsize="9749,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Прямоугольник 7" o:spid="_x0000_s1035" style="position:absolute;left:1027;top:9334;width:9725;height:4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:rsidR="005434B4" w:rsidRDefault="005434B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Полилиния 8" o:spid="_x0000_s1036" style="position:absolute;left:1027;top:9333;width:9749;height:4733;visibility:visible;mso-wrap-style:square;v-text-anchor:middle" coordsize="9749,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" path="m9749,r-10,l10,,,,,4723r,9l10,4732r9729,l9739,4723r-9729,l10,9r9729,l9739,4723r,9l9749,4732r,-9l9749,xe" fillcolor="black" stroked="f">
                    <v:path arrowok="t" o:extrusionok="f"/>
                  </v:shape>
                  <v:rect id="Прямоугольник 9" o:spid="_x0000_s1037" style="position:absolute;left:2150;top:9594;width:824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5434B4" w:rsidRDefault="007E6E2D">
                          <w:pPr>
                            <w:spacing w:line="266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4.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Предполагаемая структура уставного капитала компании (в рамках стартап-проекта)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tbl>
      <w:tblPr>
        <w:tblStyle w:val="aa"/>
        <w:tblW w:w="8173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702"/>
        <w:gridCol w:w="3545"/>
      </w:tblGrid>
      <w:tr w:rsidR="005434B4">
        <w:trPr>
          <w:trHeight w:val="654"/>
        </w:trPr>
        <w:tc>
          <w:tcPr>
            <w:tcW w:w="2926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92" w:right="76" w:hanging="10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702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92" w:right="184" w:hanging="1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3545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4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5434B4">
        <w:trPr>
          <w:trHeight w:val="774"/>
        </w:trPr>
        <w:tc>
          <w:tcPr>
            <w:tcW w:w="2926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исходных данных для 3D-моделирования на основе расчетов</w:t>
            </w:r>
          </w:p>
        </w:tc>
        <w:tc>
          <w:tcPr>
            <w:tcW w:w="1702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5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</w:tr>
      <w:tr w:rsidR="005434B4">
        <w:trPr>
          <w:trHeight w:val="568"/>
        </w:trPr>
        <w:tc>
          <w:tcPr>
            <w:tcW w:w="2926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Расчёты установки</w:t>
            </w:r>
          </w:p>
        </w:tc>
        <w:tc>
          <w:tcPr>
            <w:tcW w:w="1702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45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</w:t>
            </w:r>
          </w:p>
        </w:tc>
      </w:tr>
      <w:tr w:rsidR="005434B4">
        <w:trPr>
          <w:trHeight w:val="568"/>
        </w:trPr>
        <w:tc>
          <w:tcPr>
            <w:tcW w:w="2926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Построение 3D-модели</w:t>
            </w:r>
          </w:p>
        </w:tc>
        <w:tc>
          <w:tcPr>
            <w:tcW w:w="1702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45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450 000</w:t>
            </w:r>
          </w:p>
        </w:tc>
      </w:tr>
      <w:tr w:rsidR="005434B4">
        <w:trPr>
          <w:trHeight w:val="568"/>
        </w:trPr>
        <w:tc>
          <w:tcPr>
            <w:tcW w:w="2926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учебного пособия</w:t>
            </w:r>
          </w:p>
        </w:tc>
        <w:tc>
          <w:tcPr>
            <w:tcW w:w="1702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5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</w:tr>
    </w:tbl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7E6E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1 000 000 рублей</w:t>
      </w: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tbl>
      <w:tblPr>
        <w:tblStyle w:val="ab"/>
        <w:tblW w:w="9065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8"/>
        <w:gridCol w:w="2592"/>
        <w:gridCol w:w="3545"/>
      </w:tblGrid>
      <w:tr w:rsidR="005434B4">
        <w:trPr>
          <w:trHeight w:val="410"/>
        </w:trPr>
        <w:tc>
          <w:tcPr>
            <w:tcW w:w="2928" w:type="dxa"/>
            <w:vMerge w:val="restart"/>
          </w:tcPr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7"/>
                <w:szCs w:val="17"/>
              </w:rPr>
            </w:pP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434B4">
        <w:trPr>
          <w:trHeight w:val="407"/>
        </w:trPr>
        <w:tc>
          <w:tcPr>
            <w:tcW w:w="2928" w:type="dxa"/>
            <w:vMerge/>
          </w:tcPr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доли (руб.)</w:t>
            </w:r>
          </w:p>
        </w:tc>
        <w:tc>
          <w:tcPr>
            <w:tcW w:w="3545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5434B4">
        <w:trPr>
          <w:trHeight w:val="1631"/>
        </w:trPr>
        <w:tc>
          <w:tcPr>
            <w:tcW w:w="2928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Хасанов Айрат Ахметович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Клейн Евгений Васильевич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Новоселова Марина Сергеевна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Абрамов Руслан Александрович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Орлов Александр Сергеевич</w:t>
            </w:r>
          </w:p>
        </w:tc>
        <w:tc>
          <w:tcPr>
            <w:tcW w:w="2592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545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434B4" w:rsidRDefault="00543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5434B4">
        <w:trPr>
          <w:trHeight w:val="657"/>
        </w:trPr>
        <w:tc>
          <w:tcPr>
            <w:tcW w:w="2928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 w:right="4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Уставного капитала (УК)</w:t>
            </w:r>
          </w:p>
        </w:tc>
        <w:tc>
          <w:tcPr>
            <w:tcW w:w="2592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545" w:type="dxa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434B4" w:rsidRDefault="007E6E2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8890" cy="12700"/>
                <wp:effectExtent l="0" t="0" r="0" b="0"/>
                <wp:wrapTopAndBottom distT="0" distB="0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75555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34B4" w:rsidRDefault="005434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8" style="position:absolute;margin-left:12pt;margin-top:12pt;width:.7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" fillcolor="black" stroked="f">
                <v:textbox inset="2.53958mm,2.53958mm,2.53958mm,2.53958mm">
                  <w:txbxContent>
                    <w:p w:rsidR="005434B4" w:rsidRDefault="005434B4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434B4" w:rsidRDefault="007E6E2D">
      <w:pPr>
        <w:pBdr>
          <w:top w:val="nil"/>
          <w:left w:val="nil"/>
          <w:bottom w:val="nil"/>
          <w:right w:val="nil"/>
          <w:between w:val="nil"/>
        </w:pBdr>
        <w:spacing w:before="76" w:line="242" w:lineRule="auto"/>
        <w:ind w:left="252" w:hanging="1"/>
        <w:rPr>
          <w:color w:val="000000"/>
          <w:sz w:val="20"/>
          <w:szCs w:val="20"/>
        </w:rPr>
        <w:sectPr w:rsidR="005434B4">
          <w:pgSz w:w="11900" w:h="16840"/>
          <w:pgMar w:top="1140" w:right="740" w:bottom="280" w:left="88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color w:val="000000"/>
          <w:sz w:val="20"/>
          <w:szCs w:val="20"/>
        </w:rPr>
        <w:t>и.т.п</w:t>
      </w:r>
      <w:proofErr w:type="spellEnd"/>
      <w:r>
        <w:rPr>
          <w:color w:val="000000"/>
          <w:sz w:val="20"/>
          <w:szCs w:val="20"/>
        </w:rPr>
        <w:t xml:space="preserve">, а </w:t>
      </w:r>
      <w:r>
        <w:rPr>
          <w:color w:val="000000"/>
          <w:sz w:val="20"/>
          <w:szCs w:val="20"/>
        </w:rPr>
        <w:lastRenderedPageBreak/>
        <w:t>также расчет индекса рентабельности инвестиции (</w:t>
      </w:r>
      <w:proofErr w:type="spellStart"/>
      <w:r>
        <w:rPr>
          <w:color w:val="000000"/>
          <w:sz w:val="20"/>
          <w:szCs w:val="20"/>
        </w:rPr>
        <w:t>Profitabilityindex</w:t>
      </w:r>
      <w:proofErr w:type="spellEnd"/>
      <w:r>
        <w:rPr>
          <w:color w:val="000000"/>
          <w:sz w:val="20"/>
          <w:szCs w:val="20"/>
        </w:rPr>
        <w:t>, PI)</w:t>
      </w:r>
    </w:p>
    <w:p w:rsidR="005434B4" w:rsidRDefault="00543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c"/>
        <w:tblW w:w="9687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4"/>
        <w:gridCol w:w="1714"/>
        <w:gridCol w:w="2552"/>
        <w:gridCol w:w="1734"/>
      </w:tblGrid>
      <w:tr w:rsidR="005434B4">
        <w:trPr>
          <w:trHeight w:val="652"/>
        </w:trPr>
        <w:tc>
          <w:tcPr>
            <w:tcW w:w="9687" w:type="dxa"/>
            <w:gridSpan w:val="5"/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0"/>
              </w:tabs>
              <w:spacing w:before="71"/>
              <w:ind w:left="328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>Команда стартап-проекта</w:t>
            </w:r>
          </w:p>
        </w:tc>
      </w:tr>
      <w:tr w:rsidR="005434B4">
        <w:trPr>
          <w:trHeight w:val="798"/>
        </w:trPr>
        <w:tc>
          <w:tcPr>
            <w:tcW w:w="1973" w:type="dxa"/>
            <w:tcBorders>
              <w:bottom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649" w:right="6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714" w:type="dxa"/>
            <w:tcBorders>
              <w:bottom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5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714" w:type="dxa"/>
            <w:tcBorders>
              <w:bottom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9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56" w:lineRule="auto"/>
              <w:ind w:left="894" w:right="157" w:hanging="7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56" w:lineRule="auto"/>
              <w:ind w:left="530" w:hanging="5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Образование/опыт работы</w:t>
            </w:r>
          </w:p>
        </w:tc>
      </w:tr>
      <w:tr w:rsidR="005434B4">
        <w:trPr>
          <w:trHeight w:val="70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Новоселова Марина Сергеевна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nova-mara0607@list.ru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Cоставление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алгоритмов расчета и программирование в  </w:t>
            </w:r>
            <w:proofErr w:type="spellStart"/>
            <w:r>
              <w:rPr>
                <w:color w:val="000000"/>
                <w:sz w:val="20"/>
                <w:szCs w:val="20"/>
              </w:rPr>
              <w:t>MathLab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</w:t>
            </w:r>
          </w:p>
        </w:tc>
      </w:tr>
      <w:tr w:rsidR="005434B4">
        <w:trPr>
          <w:trHeight w:val="70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Хасанов Айрат Ахметович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hasanov2015@gmail.com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Геометрическая модель в Компас-3D 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(ГОСТы, выполнение чертежей, допуски)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</w:t>
            </w:r>
          </w:p>
        </w:tc>
      </w:tr>
      <w:tr w:rsidR="005434B4">
        <w:trPr>
          <w:trHeight w:val="70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Абрамов Руслан Александрович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rus.lindemann17@gmail.com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Геометрическая модель (ГОСТы, выполнение чертежей, допуски)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</w:t>
            </w:r>
          </w:p>
        </w:tc>
      </w:tr>
      <w:tr w:rsidR="005434B4">
        <w:trPr>
          <w:trHeight w:val="700"/>
        </w:trPr>
        <w:tc>
          <w:tcPr>
            <w:tcW w:w="1973" w:type="dxa"/>
            <w:tcBorders>
              <w:bottom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Клейн Евгений Васильевич</w:t>
            </w:r>
          </w:p>
        </w:tc>
        <w:tc>
          <w:tcPr>
            <w:tcW w:w="1714" w:type="dxa"/>
            <w:tcBorders>
              <w:bottom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Инженер-исследователь</w:t>
            </w:r>
          </w:p>
        </w:tc>
        <w:tc>
          <w:tcPr>
            <w:tcW w:w="1714" w:type="dxa"/>
            <w:tcBorders>
              <w:bottom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LittledeathJack@yandex.ru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Математическая модель с 3D-модели 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Прочностной анализ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ANSYS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Fluent</w:t>
            </w:r>
            <w:proofErr w:type="spellEnd"/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Магистратура</w:t>
            </w:r>
          </w:p>
        </w:tc>
      </w:tr>
      <w:tr w:rsidR="005434B4">
        <w:trPr>
          <w:trHeight w:val="70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 Александр Сергеевич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Программист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sanho_40@mail.ru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Fortran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(АС ГРЭТ)</w:t>
            </w:r>
          </w:p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B4" w:rsidRDefault="007E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</w:t>
            </w:r>
          </w:p>
        </w:tc>
      </w:tr>
    </w:tbl>
    <w:p w:rsidR="005434B4" w:rsidRDefault="005434B4"/>
    <w:sectPr w:rsidR="005434B4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B4"/>
    <w:rsid w:val="003F4FDA"/>
    <w:rsid w:val="005434B4"/>
    <w:rsid w:val="007E6E2D"/>
    <w:rsid w:val="00CA5A60"/>
    <w:rsid w:val="00D3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A90E"/>
  <w15:docId w15:val="{7E840EC0-8D8A-4773-8DE0-7A85667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1"/>
      <w:ind w:right="101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77"/>
      <w:ind w:right="1170"/>
      <w:jc w:val="right"/>
    </w:pPr>
    <w:rPr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BBPFbV7+dBo56z7htoezknNoQ==">AMUW2mUpiWsl966PTghzhqpvjCGHB//eyK7vIVi3QCdgvPsYwKGqZdPg9sLvgFLU2OhSHhX5eD0QjnbI/izEzQAm/eHEDhesmr4+YFjeHiFtuZl8hGddpAZDjl5fiI8WfEMT+iZyGgKB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Юлия Сергеевна</dc:creator>
  <cp:lastModifiedBy>Евгений Клейн</cp:lastModifiedBy>
  <cp:revision>2</cp:revision>
  <dcterms:created xsi:type="dcterms:W3CDTF">2022-12-14T11:42:00Z</dcterms:created>
  <dcterms:modified xsi:type="dcterms:W3CDTF">2022-12-14T11:42:00Z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2022-11-01T00:00:00Z</vt:filetime>
  </property>
</Properties>
</file>