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6F" w:rsidRDefault="00FD596F" w:rsidP="00FD596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МК-25-20</w:t>
      </w:r>
    </w:p>
    <w:p w:rsidR="00FD596F" w:rsidRPr="00FD596F" w:rsidRDefault="0098688C" w:rsidP="00FD596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УДК</w:t>
      </w:r>
      <w:r w:rsidR="00434E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332.14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D596F" w:rsidRDefault="00FD596F" w:rsidP="002F47A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596F" w:rsidRDefault="00FD596F" w:rsidP="002F47A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47A6" w:rsidRDefault="002F47A6" w:rsidP="00434EA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="00FD5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АКТОРЫ, ЗАМЕДЛЯЮЩИЕ ЭКОНОМИЧЕСКОЕ РАЗВИТИЕ РЕГИОНОВ РОССИЙСКОЙ ФЕДЕРАЦИИ И ПУТИ ИХ РЕШЕНИЯ НА ПРИМЕРЕ РЕСПУБЛИКИ ТЫВА</w:t>
      </w:r>
    </w:p>
    <w:p w:rsidR="00434EA6" w:rsidRDefault="00FD596F" w:rsidP="00434EA6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А.С. Кокарева</w:t>
      </w:r>
    </w:p>
    <w:p w:rsidR="00434EA6" w:rsidRDefault="00434EA6" w:rsidP="00434EA6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Студент</w:t>
      </w:r>
    </w:p>
    <w:p w:rsidR="00434EA6" w:rsidRPr="00434EA6" w:rsidRDefault="00434EA6" w:rsidP="00434EA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EA6">
        <w:rPr>
          <w:rFonts w:ascii="Times New Roman" w:hAnsi="Times New Roman" w:cs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434EA6" w:rsidRPr="00434EA6" w:rsidRDefault="00434EA6" w:rsidP="00434EA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EA6">
        <w:rPr>
          <w:rFonts w:ascii="Times New Roman" w:hAnsi="Times New Roman" w:cs="Times New Roman"/>
          <w:i/>
          <w:sz w:val="28"/>
          <w:szCs w:val="28"/>
        </w:rPr>
        <w:t>г. Казань, Россия</w:t>
      </w:r>
    </w:p>
    <w:p w:rsidR="00FD596F" w:rsidRDefault="00434EA6" w:rsidP="00434EA6">
      <w:pPr>
        <w:spacing w:after="0" w:line="360" w:lineRule="auto"/>
        <w:ind w:left="708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="00986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Н.З. Сайфудинова</w:t>
      </w:r>
    </w:p>
    <w:p w:rsidR="00434EA6" w:rsidRPr="00FD596F" w:rsidRDefault="00434EA6" w:rsidP="00434EA6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Старший преподаватель</w:t>
      </w:r>
    </w:p>
    <w:p w:rsidR="00FA0DB7" w:rsidRPr="00434EA6" w:rsidRDefault="00FA0DB7" w:rsidP="0098688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EA6">
        <w:rPr>
          <w:rFonts w:ascii="Times New Roman" w:hAnsi="Times New Roman" w:cs="Times New Roman"/>
          <w:i/>
          <w:sz w:val="28"/>
          <w:szCs w:val="28"/>
        </w:rPr>
        <w:t>ФГБОУ ВО «Казанский государственный энергетический университет»</w:t>
      </w:r>
    </w:p>
    <w:p w:rsidR="00FA0DB7" w:rsidRPr="00434EA6" w:rsidRDefault="00FA0DB7" w:rsidP="0098688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EA6">
        <w:rPr>
          <w:rFonts w:ascii="Times New Roman" w:hAnsi="Times New Roman" w:cs="Times New Roman"/>
          <w:i/>
          <w:sz w:val="28"/>
          <w:szCs w:val="28"/>
        </w:rPr>
        <w:t>г. Казань, Россия</w:t>
      </w:r>
    </w:p>
    <w:p w:rsidR="002F47A6" w:rsidRPr="00FD596F" w:rsidRDefault="002F47A6" w:rsidP="002D0E2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статье рассматриваются факторы, влияющие на экономическое развитие Российской Федерации на примере Республики Тыва. Ведение экономической политики в различных регионах государства может отличаться в зависимости от текущей экономической, политической и социальной обстановки, поэтому для успешного экономического роста необходимо выявить факторы, замедляющие развитие региона, выстроить политику, направленную на борьбу с этими факторами.</w:t>
      </w:r>
    </w:p>
    <w:p w:rsidR="002D0E2B" w:rsidRDefault="002F47A6" w:rsidP="002D0E2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E2B" w:rsidRPr="00434E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 слова:</w:t>
      </w:r>
      <w:r w:rsidR="002D0E2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</w:t>
      </w:r>
      <w:r w:rsidR="002D0E2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Тыва,  </w:t>
      </w:r>
      <w:r w:rsidR="005C3F20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зам</w:t>
      </w:r>
      <w:r w:rsidR="00D82701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едляющие развитие</w:t>
      </w:r>
      <w:r w:rsidR="005C3F20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D0E2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социально-экономические проблемы, направления экономической политики.</w:t>
      </w:r>
    </w:p>
    <w:p w:rsidR="003226B8" w:rsidRPr="00C96774" w:rsidRDefault="003226B8" w:rsidP="003226B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4EA6" w:rsidRDefault="00434EA6" w:rsidP="003226B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3226B8" w:rsidRDefault="0098688C" w:rsidP="003226B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B4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F</w:t>
      </w:r>
      <w:r w:rsidR="00EB4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ACTORS SLOWING ECONOMIC GROWTH OF RUSSIAN FEDERATION REGIONS AND SOLUTIONS ON THE EXAMPLE OF TUVA REPUBLIC</w:t>
      </w:r>
    </w:p>
    <w:p w:rsidR="00434EA6" w:rsidRDefault="00EB44D1" w:rsidP="00434EA6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A.S. Kokareva,</w:t>
      </w:r>
    </w:p>
    <w:p w:rsidR="00434EA6" w:rsidRDefault="00434EA6" w:rsidP="00434EA6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Student</w:t>
      </w:r>
    </w:p>
    <w:p w:rsidR="00434EA6" w:rsidRPr="00434EA6" w:rsidRDefault="00434EA6" w:rsidP="00CA6E1B">
      <w:pPr>
        <w:spacing w:after="0" w:line="360" w:lineRule="auto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434EA6">
        <w:rPr>
          <w:rFonts w:ascii="Times New Roman" w:hAnsi="Times New Roman" w:cs="Times New Roman"/>
          <w:snapToGrid w:val="0"/>
          <w:sz w:val="28"/>
          <w:szCs w:val="28"/>
          <w:lang w:val="en-US"/>
        </w:rPr>
        <w:t>«Kazan state power engineering University»</w:t>
      </w:r>
    </w:p>
    <w:p w:rsidR="00434EA6" w:rsidRPr="00434EA6" w:rsidRDefault="00434EA6" w:rsidP="00434EA6">
      <w:pPr>
        <w:spacing w:after="0" w:line="360" w:lineRule="auto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434EA6">
        <w:rPr>
          <w:rFonts w:ascii="Times New Roman" w:hAnsi="Times New Roman" w:cs="Times New Roman"/>
          <w:snapToGrid w:val="0"/>
          <w:sz w:val="28"/>
          <w:szCs w:val="28"/>
          <w:lang w:val="en-US"/>
        </w:rPr>
        <w:t>Kazan, Russia</w:t>
      </w:r>
    </w:p>
    <w:p w:rsidR="00434EA6" w:rsidRPr="00434EA6" w:rsidRDefault="00434EA6" w:rsidP="00434EA6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EB44D1" w:rsidRDefault="00EB44D1" w:rsidP="00434EA6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N.Z. Saifudinova</w:t>
      </w:r>
    </w:p>
    <w:p w:rsidR="00434EA6" w:rsidRDefault="00434EA6" w:rsidP="00CA6E1B">
      <w:pPr>
        <w:spacing w:after="0" w:line="360" w:lineRule="auto"/>
        <w:ind w:left="2124" w:firstLine="708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Teacher</w:t>
      </w:r>
    </w:p>
    <w:p w:rsidR="00EB44D1" w:rsidRPr="00434EA6" w:rsidRDefault="00EB44D1" w:rsidP="00CA6E1B">
      <w:pPr>
        <w:spacing w:after="0" w:line="360" w:lineRule="auto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434EA6">
        <w:rPr>
          <w:rFonts w:ascii="Times New Roman" w:hAnsi="Times New Roman" w:cs="Times New Roman"/>
          <w:snapToGrid w:val="0"/>
          <w:sz w:val="28"/>
          <w:szCs w:val="28"/>
          <w:lang w:val="en-US"/>
        </w:rPr>
        <w:t>«Kazan state power engineering University»</w:t>
      </w:r>
    </w:p>
    <w:p w:rsidR="009A6DDC" w:rsidRPr="00434EA6" w:rsidRDefault="003226B8" w:rsidP="009A6DDC">
      <w:pPr>
        <w:spacing w:after="0" w:line="360" w:lineRule="auto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434EA6">
        <w:rPr>
          <w:rFonts w:ascii="Times New Roman" w:hAnsi="Times New Roman" w:cs="Times New Roman"/>
          <w:snapToGrid w:val="0"/>
          <w:sz w:val="28"/>
          <w:szCs w:val="28"/>
          <w:lang w:val="en-US"/>
        </w:rPr>
        <w:t>Kazan, Russia</w:t>
      </w:r>
    </w:p>
    <w:p w:rsidR="003226B8" w:rsidRDefault="003226B8" w:rsidP="009A6DDC">
      <w:pPr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This work focuses on factors affecting on </w:t>
      </w:r>
      <w:r w:rsidR="009A6DDC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Russian Federation economic growth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o</w:t>
      </w:r>
      <w:r w:rsidR="009A6DDC">
        <w:rPr>
          <w:rFonts w:ascii="Times New Roman" w:hAnsi="Times New Roman" w:cs="Times New Roman"/>
          <w:snapToGrid w:val="0"/>
          <w:sz w:val="28"/>
          <w:szCs w:val="28"/>
          <w:lang w:val="en-US"/>
        </w:rPr>
        <w:t>n the example of Tuva Republic. Economic policy in different state regions may</w:t>
      </w:r>
      <w:r w:rsidR="00594943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r w:rsidR="009A6DDC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differ depending on current economic, political and social situation, therefore, </w:t>
      </w:r>
      <w:r w:rsidR="00594943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it is necessary to identify factors slowing down region development for successful economic growth, to building policy directed at fight against this factors. </w:t>
      </w:r>
    </w:p>
    <w:p w:rsidR="00594943" w:rsidRPr="00594943" w:rsidRDefault="00594943" w:rsidP="005949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  <w:r w:rsidRPr="00434EA6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Tuva Republic, factors slowing growth, socio-economic problems, directions of economic policy.</w:t>
      </w:r>
    </w:p>
    <w:p w:rsidR="002D0E2B" w:rsidRPr="00FD596F" w:rsidRDefault="002D0E2B" w:rsidP="005949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Россия стремится развиваться в соответствии с общими мировыми тенденциями. Но на активное развитие государства, на успешное ведение внешней и внутренней политики оказывают влияние некоторые факторы, которые сдерживают эти процессы. Одним из факторов является расхождение экономического состояния и политической обстановки на территории Российской Федерации в различных ее регионах. Несмотря на развивающуюся экономическую политику Российской Федерации</w:t>
      </w:r>
      <w:r w:rsidR="004F2A6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экономическое отставание некоторых отдаленных регионов от западной части государства остается серьезным вопросом по сей день. Это отставание приводит к возникновению ряда проблем: экономической нестабильности, безработице, высокому уровню преступности, низкому </w:t>
      </w:r>
      <w:r w:rsidR="00594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уровню жизни и прочим</w:t>
      </w:r>
      <w:r w:rsid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проблемам.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96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рассмотрения направлений экономической политики регионов Российской Федерации связана с необходимостью выбора правильной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тактики для экономического развития государства,  путем анализа факторов, влияющих на экономику конкретного региона и решения ряда проблем, существующих на территории субъектов РФ. Для рационального ведения политики и улучшения текущего состояния отстающих регионов, необходимо выявлять истоки существующих проблем и принимать меры по их нейтрализации</w:t>
      </w:r>
      <w:r w:rsidR="00C6539A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выбора верного напр</w:t>
      </w:r>
      <w:r w:rsidR="005C3F20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авления развития экономики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02BB" w:rsidRPr="00FD596F" w:rsidRDefault="00B002BB" w:rsidP="00B002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стабильного развития экономики </w:t>
      </w:r>
      <w:r w:rsidR="000004E5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обознача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существующее положение социальной, политической обстановк</w:t>
      </w:r>
      <w:r w:rsidR="000004E5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общее настроение граждан в отдельных регионах Российской Федерации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004E5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ориентируясь на существующ</w:t>
      </w:r>
      <w:r w:rsid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обстановку в Республике Тыва</w:t>
      </w:r>
      <w:r w:rsidR="000004E5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</w:t>
      </w:r>
      <w:r w:rsidR="000004E5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 направляются  на улучшение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жизни населения, так как в Тыве существует большое количество социальных проблем, которые напрямую влияют на экономику региона. Низкий уровень качества жизни, бо</w:t>
      </w:r>
      <w:r w:rsidR="004F2A6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льшой процент населения, живущего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0004E5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чертой бедности, преступность.</w:t>
      </w:r>
    </w:p>
    <w:p w:rsidR="00B002BB" w:rsidRPr="00FD596F" w:rsidRDefault="00B002BB" w:rsidP="00CA6E1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</w:t>
      </w:r>
      <w:r w:rsidR="000004E5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</w:t>
      </w:r>
      <w:r w:rsidR="0094423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Тыва</w:t>
      </w:r>
      <w:r w:rsid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названа</w:t>
      </w:r>
      <w:r w:rsidR="0094423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бедным регион России</w:t>
      </w:r>
      <w:r w:rsidR="00C96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с 2017 года за чертой бедности в Тыве проживает 41,5% населения. Была поставлена задача снизить уровень бедности. Для данного региона необходимо было предпринимать меры по в</w:t>
      </w:r>
      <w:r w:rsidR="00C96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озрождению сельского хозяйства,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</w:t>
      </w:r>
      <w:r w:rsidR="000004E5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роизводства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переработки продукции сельского хозяйства. То есть</w:t>
      </w:r>
      <w:r w:rsidR="000004E5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решения </w:t>
      </w:r>
      <w:r w:rsidR="000004E5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бедности и трудоустройства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нужно возродить региональную экономику, основанную на местных ресурсах.</w:t>
      </w:r>
    </w:p>
    <w:p w:rsidR="00C96774" w:rsidRDefault="00363853" w:rsidP="00CA6E1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002B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низить долю бедного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планировалось </w:t>
      </w:r>
      <w:r w:rsidR="00B002B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трудоустройства граждан на постоянные, временные и сезонные рабочие места, такж</w:t>
      </w:r>
      <w:r w:rsidR="004F2A6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подчеркивалась необходимость </w:t>
      </w:r>
      <w:r w:rsidR="00B002B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легализация неф</w:t>
      </w:r>
      <w:r w:rsidR="00C96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ормальной занятости населения. </w:t>
      </w:r>
    </w:p>
    <w:p w:rsidR="00D82701" w:rsidRPr="00FD596F" w:rsidRDefault="000004E5" w:rsidP="00C967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стабильного экономического развития регионов Российской Федерации</w:t>
      </w:r>
      <w:r w:rsidR="00D82701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устранить криминальную обстановку путем снижения преступности. До недавнего времени Республика Тыва была регионом с самым высоким уровнем преступности</w:t>
      </w:r>
      <w:r w:rsidR="00C96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2701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30 марта 2017 года </w:t>
      </w:r>
      <w:r w:rsidR="0036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Тыва стала</w:t>
      </w:r>
      <w:r w:rsidR="00D82701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лидером по ч</w:t>
      </w:r>
      <w:r w:rsidR="004F2A6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ислу убийств, здесь </w:t>
      </w:r>
      <w:r w:rsidR="00D82701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фиксировалось по 3</w:t>
      </w:r>
      <w:r w:rsidR="0094423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2,7</w:t>
      </w:r>
      <w:r w:rsidR="00C96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убийства на каждый 100 тысяч.</w:t>
      </w:r>
    </w:p>
    <w:p w:rsidR="00D82701" w:rsidRPr="00FD596F" w:rsidRDefault="00D82701" w:rsidP="00D8270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Для решения данной проблемы по инициативе Главы республики Шолбана Кара-оола состоялась конференция, посвященная борьбе с преступностью</w:t>
      </w:r>
      <w:r w:rsidR="00C96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темами были подростковая преступность, необходимость правильного воспитания и работы с детьми и подростками, а также пьянство и его влияние на преступность в республике. Идеи, высказанные на конференции и инициативы по</w:t>
      </w:r>
      <w:r w:rsidR="00C92F09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снижению преступности и борьбе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алкоголизацией населения стали основами задач для властей всех уровней.  </w:t>
      </w:r>
    </w:p>
    <w:p w:rsidR="000004E5" w:rsidRPr="00FD596F" w:rsidRDefault="000004E5" w:rsidP="000004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 направлением, необходимым для успешного экономического развития</w:t>
      </w:r>
      <w:r w:rsidR="0036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создание благоприятных </w:t>
      </w:r>
      <w:r w:rsidR="0036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условий для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предпринимательской деятельности. Малый и средний бизнес помогают решить проблемы социального расслоения, поэтому успешное развитие бизнеса имеет огромное значение для страны.</w:t>
      </w:r>
    </w:p>
    <w:p w:rsidR="002D0E2B" w:rsidRPr="00FD596F" w:rsidRDefault="00363853" w:rsidP="0036385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</w:t>
      </w:r>
      <w:r w:rsidR="002D0E2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Республике Тыва</w:t>
      </w:r>
      <w:r w:rsidR="002D0E2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несовершенство налогового законодате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льства, </w:t>
      </w:r>
      <w:r w:rsidR="002D0E2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именно налоговое давление на все виды бизнеса.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данного фактора является </w:t>
      </w:r>
      <w:r w:rsidR="002D0E2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правовой безграмотности предпринимателей, которые зачастую не умеют правильно оптимизировать налоговую нагрузку и по незнанию получают большие штрафы и ограничения.</w:t>
      </w:r>
    </w:p>
    <w:p w:rsidR="00CC0D9D" w:rsidRPr="00FD596F" w:rsidRDefault="008228DD" w:rsidP="00CC0D9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для создания условий для развития предпринимательства, помощи предпринимателям </w:t>
      </w:r>
      <w:r w:rsidR="002A0110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Республике Тыва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</w:t>
      </w:r>
      <w:r w:rsidR="002A0110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</w:t>
      </w:r>
      <w:r w:rsidR="00B002B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предпринимательства, Гарантийный фонд Республики Тыва. Ц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елями </w:t>
      </w:r>
      <w:r w:rsidR="00B002B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Фонда поддержки предпринимательства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предоставление открытого доступа ко всему комплексу услуг для развития, повышение конкурентоспособности продуктов, реализация инвестиционных проектов по развитию. Фонд поддержки предпринимательства оказывает финансовую поддержку путем выдачи микро</w:t>
      </w:r>
      <w:r w:rsidR="004F2A6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займов, предоставляет поручительство при получении банковского кредита.</w:t>
      </w:r>
      <w:r w:rsidR="00B002B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Гарантийный фонд Республики Тыва</w:t>
      </w:r>
      <w:r w:rsidR="002A0110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</w:t>
      </w:r>
      <w:r w:rsidR="00B002B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ствляет помощь предпринимателям, оказывая информационную, консультационную и иные поддержки субъектам малого и среднего предпринимательства, направляет деятельность на</w:t>
      </w:r>
      <w:r w:rsidR="002A0110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2BB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 в </w:t>
      </w:r>
      <w:r w:rsidR="002A0110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получении кредитов для развития бизнеса. На данный момент прикладываются </w:t>
      </w:r>
      <w:r w:rsidR="002A0110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необходимые усилия, чтобы масштаб государственной поддержки возрастал, а средства были направлены на системную поддержку предпринимательства, а не на отдельных предпринимателей. </w:t>
      </w:r>
    </w:p>
    <w:p w:rsidR="00CA6E1B" w:rsidRDefault="00CA6E1B" w:rsidP="009A3495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0D9D" w:rsidRPr="00FD596F" w:rsidRDefault="00CC0D9D" w:rsidP="009A3495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 w:rsidR="00CA6E1B" w:rsidRPr="00CA6E1B" w:rsidRDefault="00CC0D9D" w:rsidP="00CA6E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В. Никулина</w:t>
      </w:r>
      <w:r w:rsidR="00C40AB1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 В. Чистникова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</w:t>
      </w:r>
      <w:r w:rsidR="00C40AB1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Журавлева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 В. Романенко, Т. С. Лисицкая ЭКОНОМИКА РЕГИОНА: ПРОБЛЕМЫ, СТРАТЕГИЯ, МОНИТОРИНГ Электронная версия (2014); </w:t>
      </w:r>
      <w:hyperlink r:id="rId8" w:history="1">
        <w:r w:rsidRPr="00FD596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http://russian-science.info/monografiya-ekonomika-regiona-problemy-strategiya-monitoring</w:t>
        </w:r>
      </w:hyperlink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E1B"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обращения 11.06.2020).</w:t>
      </w:r>
    </w:p>
    <w:p w:rsidR="00C40AB1" w:rsidRPr="00CA6E1B" w:rsidRDefault="00C40AB1" w:rsidP="009A34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Белозёрова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Белолипецкая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Дергунов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Иваницкая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Лысоченко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Пацук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Поподько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Фишер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O.K.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Цапиева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Шейнкман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Ярошенко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C0D9D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АКТОРЫ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УСТОЙЧИВОГО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РЕГИОНОВ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r w:rsidRP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CA6E1B" w:rsidRPr="00CA6E1B" w:rsidRDefault="00C40AB1" w:rsidP="00CA6E1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Фетисов Г.Г., Орешин В.П. РЕГИОНАЛЬНАЯ ЭОНОМИКА </w:t>
      </w:r>
      <w:r w:rsidR="00DD38A2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УПРАВЛЕНИЕ Электронная версия </w:t>
      </w: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D38A2"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2006); </w:t>
      </w:r>
      <w:hyperlink r:id="rId9" w:history="1">
        <w:r w:rsidRPr="00FD596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https://institutiones.com/download/books/1310-regionalnaya-ekonomika-i-upravlenie-fetisov.html</w:t>
        </w:r>
      </w:hyperlink>
      <w:r w:rsidR="00CA6E1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6E1B" w:rsidRPr="00CA6E1B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>(дата обращения 11.06.2020).</w:t>
      </w:r>
    </w:p>
    <w:p w:rsidR="00DD38A2" w:rsidRPr="00FD596F" w:rsidRDefault="00DD38A2" w:rsidP="009A34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редакцией В.И. Видяпина, М.В. Степанова РЕГИОНАЛЬНАЯ ЭКОНОМИКА Электронная версия (2007); </w:t>
      </w:r>
    </w:p>
    <w:p w:rsidR="00DD38A2" w:rsidRDefault="002C097F" w:rsidP="009A3495">
      <w:pPr>
        <w:pStyle w:val="a3"/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DD38A2" w:rsidRPr="00FD596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https://institutiones.com/download/books/854-regionalnaya-economica.html</w:t>
        </w:r>
      </w:hyperlink>
    </w:p>
    <w:p w:rsidR="00CA6E1B" w:rsidRPr="00FD596F" w:rsidRDefault="00CA6E1B" w:rsidP="009A3495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1B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>(дата обращения 11.06.2020).</w:t>
      </w:r>
    </w:p>
    <w:p w:rsidR="00DD38A2" w:rsidRPr="00F16717" w:rsidRDefault="00DD38A2" w:rsidP="00F167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 Э.В УЧЕБНОЕ ПОСОБИЕ «РЕГИОНАЛЬНАЯ ЭКОНОМИКА И УПРАВЛ</w:t>
      </w:r>
      <w:r w:rsidR="00CA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ЕНИЕ» Электронная версия (2007) </w:t>
      </w:r>
      <w:hyperlink r:id="rId11" w:history="1">
        <w:r w:rsidRPr="00FD596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http://window.edu.ru/catalog/pdf2txt/938/37938/15736</w:t>
        </w:r>
      </w:hyperlink>
      <w:r w:rsidR="00F1671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6E1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6E1B" w:rsidRPr="00CA6E1B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>(дата обращения 11.06.2020).</w:t>
      </w:r>
    </w:p>
    <w:sectPr w:rsidR="00DD38A2" w:rsidRPr="00F16717" w:rsidSect="00FD596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7F" w:rsidRDefault="002C097F" w:rsidP="00FD596F">
      <w:pPr>
        <w:spacing w:after="0" w:line="240" w:lineRule="auto"/>
      </w:pPr>
      <w:r>
        <w:separator/>
      </w:r>
    </w:p>
  </w:endnote>
  <w:endnote w:type="continuationSeparator" w:id="0">
    <w:p w:rsidR="002C097F" w:rsidRDefault="002C097F" w:rsidP="00FD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7F" w:rsidRDefault="002C097F" w:rsidP="00FD596F">
      <w:pPr>
        <w:spacing w:after="0" w:line="240" w:lineRule="auto"/>
      </w:pPr>
      <w:r>
        <w:separator/>
      </w:r>
    </w:p>
  </w:footnote>
  <w:footnote w:type="continuationSeparator" w:id="0">
    <w:p w:rsidR="002C097F" w:rsidRDefault="002C097F" w:rsidP="00FD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7290"/>
    <w:multiLevelType w:val="hybridMultilevel"/>
    <w:tmpl w:val="B364A04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32C0F"/>
    <w:multiLevelType w:val="hybridMultilevel"/>
    <w:tmpl w:val="B96E507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02861"/>
    <w:multiLevelType w:val="hybridMultilevel"/>
    <w:tmpl w:val="F9D4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72"/>
    <w:rsid w:val="000004E5"/>
    <w:rsid w:val="000967DC"/>
    <w:rsid w:val="002A0110"/>
    <w:rsid w:val="002C097F"/>
    <w:rsid w:val="002D0E2B"/>
    <w:rsid w:val="002F47A6"/>
    <w:rsid w:val="003226B8"/>
    <w:rsid w:val="00363853"/>
    <w:rsid w:val="003D4299"/>
    <w:rsid w:val="003F21DA"/>
    <w:rsid w:val="00434EA6"/>
    <w:rsid w:val="00494F5D"/>
    <w:rsid w:val="004F2A6B"/>
    <w:rsid w:val="00594943"/>
    <w:rsid w:val="005C3F20"/>
    <w:rsid w:val="008228DD"/>
    <w:rsid w:val="0094423B"/>
    <w:rsid w:val="0098688C"/>
    <w:rsid w:val="009A3495"/>
    <w:rsid w:val="009A6DDC"/>
    <w:rsid w:val="00B002BB"/>
    <w:rsid w:val="00B77E1E"/>
    <w:rsid w:val="00C40AB1"/>
    <w:rsid w:val="00C6539A"/>
    <w:rsid w:val="00C92F09"/>
    <w:rsid w:val="00C96774"/>
    <w:rsid w:val="00CA6E1B"/>
    <w:rsid w:val="00CC0D9D"/>
    <w:rsid w:val="00D82701"/>
    <w:rsid w:val="00DD38A2"/>
    <w:rsid w:val="00DF012E"/>
    <w:rsid w:val="00EB44D1"/>
    <w:rsid w:val="00F16717"/>
    <w:rsid w:val="00FA0DB7"/>
    <w:rsid w:val="00FB5772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68C2"/>
  <w15:docId w15:val="{7B8A79A3-D627-4B80-9AD4-DF4F2BBA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D9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38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8A2"/>
    <w:rPr>
      <w:rFonts w:ascii="Consolas" w:hAnsi="Consolas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3D429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D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96F"/>
  </w:style>
  <w:style w:type="paragraph" w:styleId="a8">
    <w:name w:val="footer"/>
    <w:basedOn w:val="a"/>
    <w:link w:val="a9"/>
    <w:uiPriority w:val="99"/>
    <w:unhideWhenUsed/>
    <w:rsid w:val="00FD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-science.info/monografiya-ekonomika-regiona-problemy-strategiya-monito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catalog/pdf2txt/938/37938/157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titutiones.com/download/books/854-regionalnaya-economic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itutiones.com/download/books/1310-regionalnaya-ekonomika-i-upravlenie-feti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8252-6E48-41CB-A953-294EB955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2020-06-11T10:36:00Z</dcterms:created>
  <dcterms:modified xsi:type="dcterms:W3CDTF">2020-06-11T15:33:00Z</dcterms:modified>
</cp:coreProperties>
</file>