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37" w:rsidRPr="002315D0" w:rsidRDefault="000B7F37" w:rsidP="000B7F37">
      <w:pPr>
        <w:spacing w:before="240" w:line="360" w:lineRule="atLeast"/>
        <w:ind w:right="283"/>
        <w:jc w:val="both"/>
        <w:rPr>
          <w:rFonts w:ascii="Times New Roman" w:hAnsi="Times New Roman" w:cs="Times New Roman"/>
          <w:sz w:val="24"/>
          <w:szCs w:val="24"/>
        </w:rPr>
      </w:pPr>
      <w:r w:rsidRPr="002315D0">
        <w:rPr>
          <w:rFonts w:ascii="Times New Roman" w:hAnsi="Times New Roman" w:cs="Times New Roman"/>
          <w:sz w:val="24"/>
          <w:szCs w:val="24"/>
        </w:rPr>
        <w:t>УДК</w:t>
      </w:r>
      <w:r w:rsidR="00927066" w:rsidRPr="00927066">
        <w:rPr>
          <w:rFonts w:ascii="Times New Roman" w:hAnsi="Times New Roman" w:cs="Times New Roman"/>
          <w:sz w:val="24"/>
          <w:szCs w:val="24"/>
        </w:rPr>
        <w:t xml:space="preserve"> 658.265(430)</w:t>
      </w:r>
      <w:bookmarkStart w:id="0" w:name="_GoBack"/>
      <w:bookmarkEnd w:id="0"/>
    </w:p>
    <w:p w:rsidR="000B7F37" w:rsidRDefault="000B7F37" w:rsidP="000B7F37">
      <w:pPr>
        <w:spacing w:before="240" w:line="360" w:lineRule="atLeast"/>
        <w:ind w:right="283"/>
        <w:jc w:val="both"/>
        <w:rPr>
          <w:rFonts w:ascii="Times New Roman" w:hAnsi="Times New Roman" w:cs="Times New Roman"/>
          <w:sz w:val="28"/>
          <w:szCs w:val="28"/>
        </w:rPr>
      </w:pPr>
    </w:p>
    <w:p w:rsidR="000B7F37" w:rsidRDefault="000B7F37" w:rsidP="000B7F37">
      <w:pPr>
        <w:spacing w:before="240" w:line="360" w:lineRule="atLeast"/>
        <w:ind w:right="283"/>
        <w:jc w:val="center"/>
        <w:rPr>
          <w:rFonts w:ascii="Times New Roman" w:hAnsi="Times New Roman" w:cs="Times New Roman"/>
          <w:b/>
          <w:sz w:val="28"/>
          <w:szCs w:val="28"/>
        </w:rPr>
      </w:pPr>
      <w:r w:rsidRPr="000B7F37">
        <w:rPr>
          <w:rFonts w:ascii="Times New Roman" w:hAnsi="Times New Roman" w:cs="Times New Roman"/>
          <w:b/>
          <w:sz w:val="28"/>
          <w:szCs w:val="28"/>
        </w:rPr>
        <w:t>ЭКСПЛУАТАЦИЯ ЭНЕРГОУСТАНОВОК И СИСТЕМ ТЕПЛОСНАБЖЕНИЯ (НА ПРИМЕРЕ ГЕРМАНИИ)</w:t>
      </w:r>
    </w:p>
    <w:p w:rsidR="000B7F37" w:rsidRDefault="000B7F37" w:rsidP="000B7F37">
      <w:pPr>
        <w:spacing w:before="240" w:line="360" w:lineRule="atLeast"/>
        <w:ind w:right="283"/>
        <w:jc w:val="center"/>
        <w:rPr>
          <w:rFonts w:ascii="Times New Roman" w:hAnsi="Times New Roman" w:cs="Times New Roman"/>
          <w:sz w:val="28"/>
          <w:szCs w:val="28"/>
        </w:rPr>
      </w:pPr>
    </w:p>
    <w:p w:rsidR="00E60CFD" w:rsidRDefault="00E60CFD" w:rsidP="000B7F37">
      <w:pPr>
        <w:spacing w:before="240" w:line="360" w:lineRule="atLeast"/>
        <w:ind w:right="283"/>
        <w:jc w:val="center"/>
        <w:rPr>
          <w:rFonts w:ascii="Times New Roman" w:hAnsi="Times New Roman" w:cs="Times New Roman"/>
          <w:sz w:val="24"/>
          <w:szCs w:val="24"/>
        </w:rPr>
      </w:pPr>
      <w:proofErr w:type="spellStart"/>
      <w:r w:rsidRPr="000B7F37">
        <w:rPr>
          <w:rFonts w:ascii="Times New Roman" w:hAnsi="Times New Roman" w:cs="Times New Roman"/>
          <w:sz w:val="24"/>
          <w:szCs w:val="24"/>
        </w:rPr>
        <w:t>Коныжов</w:t>
      </w:r>
      <w:proofErr w:type="spellEnd"/>
      <w:r w:rsidRPr="000B7F37">
        <w:rPr>
          <w:rFonts w:ascii="Times New Roman" w:hAnsi="Times New Roman" w:cs="Times New Roman"/>
          <w:sz w:val="24"/>
          <w:szCs w:val="24"/>
        </w:rPr>
        <w:t xml:space="preserve"> К.В</w:t>
      </w:r>
      <w:r w:rsidR="005E5749">
        <w:rPr>
          <w:rFonts w:ascii="Times New Roman" w:hAnsi="Times New Roman" w:cs="Times New Roman"/>
          <w:sz w:val="24"/>
          <w:szCs w:val="24"/>
        </w:rPr>
        <w:t>.</w:t>
      </w:r>
    </w:p>
    <w:p w:rsidR="000B7F37" w:rsidRDefault="000B7F37" w:rsidP="000B7F37">
      <w:pPr>
        <w:spacing w:before="240" w:line="360" w:lineRule="atLeast"/>
        <w:ind w:right="283"/>
        <w:jc w:val="center"/>
        <w:rPr>
          <w:rFonts w:ascii="Times New Roman" w:hAnsi="Times New Roman" w:cs="Times New Roman"/>
          <w:sz w:val="24"/>
          <w:szCs w:val="24"/>
        </w:rPr>
      </w:pPr>
      <w:r>
        <w:rPr>
          <w:rFonts w:ascii="Times New Roman" w:hAnsi="Times New Roman" w:cs="Times New Roman"/>
          <w:sz w:val="24"/>
          <w:szCs w:val="24"/>
        </w:rPr>
        <w:t>ФГБОУ ВО «КГЭУ»</w:t>
      </w:r>
      <w:r w:rsidR="002315D0">
        <w:rPr>
          <w:rFonts w:ascii="Times New Roman" w:hAnsi="Times New Roman" w:cs="Times New Roman"/>
          <w:sz w:val="24"/>
          <w:szCs w:val="24"/>
        </w:rPr>
        <w:t>, г.</w:t>
      </w:r>
      <w:r w:rsidR="005E5749">
        <w:rPr>
          <w:rFonts w:ascii="Times New Roman" w:hAnsi="Times New Roman" w:cs="Times New Roman"/>
          <w:sz w:val="24"/>
          <w:szCs w:val="24"/>
        </w:rPr>
        <w:t xml:space="preserve"> </w:t>
      </w:r>
      <w:r w:rsidR="002315D0">
        <w:rPr>
          <w:rFonts w:ascii="Times New Roman" w:hAnsi="Times New Roman" w:cs="Times New Roman"/>
          <w:sz w:val="24"/>
          <w:szCs w:val="24"/>
        </w:rPr>
        <w:t>Казань, Россия</w:t>
      </w:r>
    </w:p>
    <w:p w:rsidR="002315D0" w:rsidRDefault="002315D0" w:rsidP="000B7F37">
      <w:pPr>
        <w:spacing w:before="240" w:line="360" w:lineRule="atLeast"/>
        <w:ind w:right="283"/>
        <w:jc w:val="center"/>
        <w:rPr>
          <w:rFonts w:ascii="Times New Roman" w:hAnsi="Times New Roman" w:cs="Times New Roman"/>
          <w:sz w:val="24"/>
          <w:szCs w:val="24"/>
        </w:rPr>
      </w:pPr>
      <w:r>
        <w:rPr>
          <w:rFonts w:ascii="Times New Roman" w:hAnsi="Times New Roman" w:cs="Times New Roman"/>
          <w:sz w:val="24"/>
          <w:szCs w:val="24"/>
        </w:rPr>
        <w:t>Науч.</w:t>
      </w:r>
      <w:r w:rsidR="008B0247">
        <w:rPr>
          <w:rFonts w:ascii="Times New Roman" w:hAnsi="Times New Roman" w:cs="Times New Roman"/>
          <w:sz w:val="24"/>
          <w:szCs w:val="24"/>
        </w:rPr>
        <w:t xml:space="preserve"> </w:t>
      </w:r>
      <w:r>
        <w:rPr>
          <w:rFonts w:ascii="Times New Roman" w:hAnsi="Times New Roman" w:cs="Times New Roman"/>
          <w:sz w:val="24"/>
          <w:szCs w:val="24"/>
        </w:rPr>
        <w:t>рук. доц. Максимова А.Б.</w:t>
      </w:r>
    </w:p>
    <w:p w:rsidR="002315D0" w:rsidRPr="000B7F37" w:rsidRDefault="002315D0" w:rsidP="000B7F37">
      <w:pPr>
        <w:spacing w:before="240" w:line="360" w:lineRule="atLeast"/>
        <w:ind w:right="283"/>
        <w:jc w:val="center"/>
        <w:rPr>
          <w:rFonts w:ascii="Times New Roman" w:hAnsi="Times New Roman" w:cs="Times New Roman"/>
          <w:sz w:val="24"/>
          <w:szCs w:val="24"/>
        </w:rPr>
      </w:pPr>
    </w:p>
    <w:p w:rsidR="00E60CFD" w:rsidRPr="000B7F37" w:rsidRDefault="008B0247" w:rsidP="009545FF">
      <w:pPr>
        <w:spacing w:line="360" w:lineRule="atLeast"/>
        <w:ind w:right="283" w:firstLine="709"/>
        <w:jc w:val="both"/>
        <w:rPr>
          <w:rFonts w:ascii="Times New Roman" w:hAnsi="Times New Roman" w:cs="Times New Roman"/>
          <w:sz w:val="28"/>
          <w:szCs w:val="28"/>
        </w:rPr>
      </w:pPr>
      <w:r>
        <w:rPr>
          <w:rFonts w:ascii="Times New Roman" w:hAnsi="Times New Roman" w:cs="Times New Roman"/>
          <w:sz w:val="28"/>
          <w:szCs w:val="28"/>
        </w:rPr>
        <w:t>Немецкое энергетическое агентство (</w:t>
      </w:r>
      <w:proofErr w:type="spellStart"/>
      <w:r>
        <w:rPr>
          <w:rFonts w:ascii="Times New Roman" w:hAnsi="Times New Roman" w:cs="Times New Roman"/>
          <w:sz w:val="28"/>
          <w:szCs w:val="28"/>
          <w:lang w:val="en-US"/>
        </w:rPr>
        <w:t>dena</w:t>
      </w:r>
      <w:proofErr w:type="spellEnd"/>
      <w:r w:rsidRPr="008B0247">
        <w:rPr>
          <w:rFonts w:ascii="Times New Roman" w:hAnsi="Times New Roman" w:cs="Times New Roman"/>
          <w:sz w:val="28"/>
          <w:szCs w:val="28"/>
        </w:rPr>
        <w:t xml:space="preserve">) </w:t>
      </w:r>
      <w:r w:rsidR="00C16C39">
        <w:rPr>
          <w:rFonts w:ascii="Times New Roman" w:hAnsi="Times New Roman" w:cs="Times New Roman"/>
          <w:sz w:val="28"/>
          <w:szCs w:val="28"/>
        </w:rPr>
        <w:t>представило</w:t>
      </w:r>
      <w:r>
        <w:rPr>
          <w:rFonts w:ascii="Times New Roman" w:hAnsi="Times New Roman" w:cs="Times New Roman"/>
          <w:sz w:val="28"/>
          <w:szCs w:val="28"/>
        </w:rPr>
        <w:t xml:space="preserve"> в своем докладе инициат</w:t>
      </w:r>
      <w:r w:rsidR="00C16C39">
        <w:rPr>
          <w:rFonts w:ascii="Times New Roman" w:hAnsi="Times New Roman" w:cs="Times New Roman"/>
          <w:sz w:val="28"/>
          <w:szCs w:val="28"/>
        </w:rPr>
        <w:t>ивные решения</w:t>
      </w:r>
      <w:r>
        <w:rPr>
          <w:rFonts w:ascii="Times New Roman" w:hAnsi="Times New Roman" w:cs="Times New Roman"/>
          <w:sz w:val="28"/>
          <w:szCs w:val="28"/>
        </w:rPr>
        <w:t xml:space="preserve"> в области </w:t>
      </w:r>
      <w:proofErr w:type="spellStart"/>
      <w:r w:rsidR="00C16C39">
        <w:rPr>
          <w:rFonts w:ascii="Times New Roman" w:hAnsi="Times New Roman" w:cs="Times New Roman"/>
          <w:sz w:val="28"/>
          <w:szCs w:val="28"/>
        </w:rPr>
        <w:t>энергоэффективности</w:t>
      </w:r>
      <w:proofErr w:type="spellEnd"/>
      <w:r w:rsidR="00C16C39" w:rsidRPr="000B7F37">
        <w:rPr>
          <w:rFonts w:ascii="Times New Roman" w:hAnsi="Times New Roman" w:cs="Times New Roman"/>
          <w:sz w:val="28"/>
          <w:szCs w:val="28"/>
        </w:rPr>
        <w:t xml:space="preserve"> </w:t>
      </w:r>
      <w:r w:rsidR="00C16C39">
        <w:rPr>
          <w:rFonts w:ascii="Times New Roman" w:hAnsi="Times New Roman" w:cs="Times New Roman"/>
          <w:sz w:val="28"/>
          <w:szCs w:val="28"/>
        </w:rPr>
        <w:t>при эксплуатации систем теплоснабжения и энергоустановок. Анализ этих решений может быть актуальным и для российской энергетики</w:t>
      </w:r>
      <w:r w:rsidR="009545FF">
        <w:rPr>
          <w:rFonts w:ascii="Times New Roman" w:hAnsi="Times New Roman" w:cs="Times New Roman"/>
          <w:sz w:val="28"/>
          <w:szCs w:val="28"/>
        </w:rPr>
        <w:t>, которая является безоговорочным лидером</w:t>
      </w:r>
      <w:r w:rsidR="00C16C39">
        <w:rPr>
          <w:rFonts w:ascii="Times New Roman" w:hAnsi="Times New Roman" w:cs="Times New Roman"/>
          <w:sz w:val="28"/>
          <w:szCs w:val="28"/>
        </w:rPr>
        <w:t xml:space="preserve"> </w:t>
      </w:r>
      <w:r w:rsidR="009545FF" w:rsidRPr="009545FF">
        <w:rPr>
          <w:rFonts w:ascii="Times New Roman" w:hAnsi="Times New Roman" w:cs="Times New Roman"/>
          <w:sz w:val="28"/>
          <w:szCs w:val="28"/>
        </w:rPr>
        <w:t>на рынке производства тепловой энергии.</w:t>
      </w:r>
    </w:p>
    <w:p w:rsidR="00E60CFD" w:rsidRPr="000B7F37" w:rsidRDefault="00C16C39" w:rsidP="006732C5">
      <w:pPr>
        <w:spacing w:line="360" w:lineRule="atLeast"/>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Более 80% </w:t>
      </w:r>
      <w:r w:rsidR="006732C5">
        <w:rPr>
          <w:rFonts w:ascii="Times New Roman" w:hAnsi="Times New Roman" w:cs="Times New Roman"/>
          <w:sz w:val="28"/>
          <w:szCs w:val="28"/>
        </w:rPr>
        <w:t>тепловых установок (более 250000 шт.) в Германии находятся в эксплуатации уже более 10 лет и требуют модернизации. Д</w:t>
      </w:r>
      <w:r w:rsidR="006732C5" w:rsidRPr="000B7F37">
        <w:rPr>
          <w:rFonts w:ascii="Times New Roman" w:hAnsi="Times New Roman" w:cs="Times New Roman"/>
          <w:sz w:val="28"/>
          <w:szCs w:val="28"/>
        </w:rPr>
        <w:t xml:space="preserve">ля производства технологического тепла </w:t>
      </w:r>
      <w:r w:rsidR="006732C5">
        <w:rPr>
          <w:rFonts w:ascii="Times New Roman" w:hAnsi="Times New Roman" w:cs="Times New Roman"/>
          <w:sz w:val="28"/>
          <w:szCs w:val="28"/>
        </w:rPr>
        <w:t>используе</w:t>
      </w:r>
      <w:r w:rsidR="00E60CFD" w:rsidRPr="000B7F37">
        <w:rPr>
          <w:rFonts w:ascii="Times New Roman" w:hAnsi="Times New Roman" w:cs="Times New Roman"/>
          <w:sz w:val="28"/>
          <w:szCs w:val="28"/>
        </w:rPr>
        <w:t>т</w:t>
      </w:r>
      <w:r w:rsidR="006732C5">
        <w:rPr>
          <w:rFonts w:ascii="Times New Roman" w:hAnsi="Times New Roman" w:cs="Times New Roman"/>
          <w:sz w:val="28"/>
          <w:szCs w:val="28"/>
        </w:rPr>
        <w:t>ся</w:t>
      </w:r>
      <w:r w:rsidR="00E60CFD" w:rsidRPr="000B7F37">
        <w:rPr>
          <w:rFonts w:ascii="Times New Roman" w:hAnsi="Times New Roman" w:cs="Times New Roman"/>
          <w:sz w:val="28"/>
          <w:szCs w:val="28"/>
        </w:rPr>
        <w:t xml:space="preserve"> около 400 </w:t>
      </w:r>
      <w:proofErr w:type="spellStart"/>
      <w:r w:rsidR="00E60CFD" w:rsidRPr="000B7F37">
        <w:rPr>
          <w:rFonts w:ascii="Times New Roman" w:hAnsi="Times New Roman" w:cs="Times New Roman"/>
          <w:sz w:val="28"/>
          <w:szCs w:val="28"/>
        </w:rPr>
        <w:t>ТВтч</w:t>
      </w:r>
      <w:proofErr w:type="spellEnd"/>
      <w:r w:rsidR="00E60CFD" w:rsidRPr="000B7F37">
        <w:rPr>
          <w:rFonts w:ascii="Times New Roman" w:hAnsi="Times New Roman" w:cs="Times New Roman"/>
          <w:sz w:val="28"/>
          <w:szCs w:val="28"/>
        </w:rPr>
        <w:t xml:space="preserve"> конечной энергии ежегодно. Технологическое тепло, на долю </w:t>
      </w:r>
      <w:r w:rsidR="009545FF">
        <w:rPr>
          <w:rFonts w:ascii="Times New Roman" w:hAnsi="Times New Roman" w:cs="Times New Roman"/>
          <w:sz w:val="28"/>
          <w:szCs w:val="28"/>
        </w:rPr>
        <w:t>которого приходится 57</w:t>
      </w:r>
      <w:r w:rsidR="001158B3">
        <w:rPr>
          <w:rFonts w:ascii="Times New Roman" w:hAnsi="Times New Roman" w:cs="Times New Roman"/>
          <w:sz w:val="28"/>
          <w:szCs w:val="28"/>
        </w:rPr>
        <w:t>%</w:t>
      </w:r>
      <w:r w:rsidR="00E60CFD" w:rsidRPr="000B7F37">
        <w:rPr>
          <w:rFonts w:ascii="Times New Roman" w:hAnsi="Times New Roman" w:cs="Times New Roman"/>
          <w:sz w:val="28"/>
          <w:szCs w:val="28"/>
        </w:rPr>
        <w:t xml:space="preserve"> от общего промышленного потребления энергии, является наиболее энергоемкой областью применения, опережая электродвигатели, отопление помещений, освещение и гальванические процессы, а также биотехнологии. </w:t>
      </w:r>
    </w:p>
    <w:p w:rsidR="00E60CFD" w:rsidRPr="000B7F37" w:rsidRDefault="001158B3" w:rsidP="001158B3">
      <w:pPr>
        <w:spacing w:line="360" w:lineRule="atLeast"/>
        <w:ind w:right="283" w:firstLine="709"/>
        <w:jc w:val="both"/>
        <w:rPr>
          <w:rFonts w:ascii="Times New Roman" w:hAnsi="Times New Roman" w:cs="Times New Roman"/>
          <w:sz w:val="28"/>
          <w:szCs w:val="28"/>
        </w:rPr>
      </w:pPr>
      <w:r>
        <w:rPr>
          <w:rFonts w:ascii="Times New Roman" w:hAnsi="Times New Roman" w:cs="Times New Roman"/>
          <w:sz w:val="28"/>
          <w:szCs w:val="28"/>
        </w:rPr>
        <w:t>Н</w:t>
      </w:r>
      <w:r w:rsidRPr="000B7F37">
        <w:rPr>
          <w:rFonts w:ascii="Times New Roman" w:hAnsi="Times New Roman" w:cs="Times New Roman"/>
          <w:sz w:val="28"/>
          <w:szCs w:val="28"/>
        </w:rPr>
        <w:t xml:space="preserve">а котельные </w:t>
      </w:r>
      <w:r>
        <w:rPr>
          <w:rFonts w:ascii="Times New Roman" w:hAnsi="Times New Roman" w:cs="Times New Roman"/>
          <w:sz w:val="28"/>
          <w:szCs w:val="28"/>
        </w:rPr>
        <w:t xml:space="preserve">установки </w:t>
      </w:r>
      <w:r w:rsidRPr="000B7F37">
        <w:rPr>
          <w:rFonts w:ascii="Times New Roman" w:hAnsi="Times New Roman" w:cs="Times New Roman"/>
          <w:sz w:val="28"/>
          <w:szCs w:val="28"/>
        </w:rPr>
        <w:t>для производства пара и горячей воды</w:t>
      </w:r>
      <w:r>
        <w:rPr>
          <w:rFonts w:ascii="Times New Roman" w:hAnsi="Times New Roman" w:cs="Times New Roman"/>
          <w:sz w:val="28"/>
          <w:szCs w:val="28"/>
        </w:rPr>
        <w:t xml:space="preserve"> приходится о</w:t>
      </w:r>
      <w:r w:rsidR="009545FF">
        <w:rPr>
          <w:rFonts w:ascii="Times New Roman" w:hAnsi="Times New Roman" w:cs="Times New Roman"/>
          <w:sz w:val="28"/>
          <w:szCs w:val="28"/>
        </w:rPr>
        <w:t>коло 40</w:t>
      </w:r>
      <w:r>
        <w:rPr>
          <w:rFonts w:ascii="Times New Roman" w:hAnsi="Times New Roman" w:cs="Times New Roman"/>
          <w:sz w:val="28"/>
          <w:szCs w:val="28"/>
        </w:rPr>
        <w:t>%</w:t>
      </w:r>
      <w:r w:rsidR="00E60CFD" w:rsidRPr="000B7F37">
        <w:rPr>
          <w:rFonts w:ascii="Times New Roman" w:hAnsi="Times New Roman" w:cs="Times New Roman"/>
          <w:sz w:val="28"/>
          <w:szCs w:val="28"/>
        </w:rPr>
        <w:t xml:space="preserve"> потребностей в промышленных процессах и обогреве помещений</w:t>
      </w:r>
      <w:r>
        <w:rPr>
          <w:rFonts w:ascii="Times New Roman" w:hAnsi="Times New Roman" w:cs="Times New Roman"/>
          <w:sz w:val="28"/>
          <w:szCs w:val="28"/>
        </w:rPr>
        <w:t>. Почти</w:t>
      </w:r>
      <w:r w:rsidR="00E60CFD" w:rsidRPr="000B7F37">
        <w:rPr>
          <w:rFonts w:ascii="Times New Roman" w:hAnsi="Times New Roman" w:cs="Times New Roman"/>
          <w:sz w:val="28"/>
          <w:szCs w:val="28"/>
        </w:rPr>
        <w:t xml:space="preserve"> 92,9 </w:t>
      </w:r>
      <w:proofErr w:type="spellStart"/>
      <w:r w:rsidR="00E60CFD" w:rsidRPr="000B7F37">
        <w:rPr>
          <w:rFonts w:ascii="Times New Roman" w:hAnsi="Times New Roman" w:cs="Times New Roman"/>
          <w:sz w:val="28"/>
          <w:szCs w:val="28"/>
        </w:rPr>
        <w:t>ТВтч</w:t>
      </w:r>
      <w:proofErr w:type="spellEnd"/>
      <w:r w:rsidR="00E60CFD" w:rsidRPr="000B7F37">
        <w:rPr>
          <w:rFonts w:ascii="Times New Roman" w:hAnsi="Times New Roman" w:cs="Times New Roman"/>
          <w:sz w:val="28"/>
          <w:szCs w:val="28"/>
        </w:rPr>
        <w:t xml:space="preserve"> энергии в год используется </w:t>
      </w:r>
      <w:r w:rsidRPr="000B7F37">
        <w:rPr>
          <w:rFonts w:ascii="Times New Roman" w:hAnsi="Times New Roman" w:cs="Times New Roman"/>
          <w:sz w:val="28"/>
          <w:szCs w:val="28"/>
        </w:rPr>
        <w:t xml:space="preserve">в Германии </w:t>
      </w:r>
      <w:r w:rsidR="00E60CFD" w:rsidRPr="000B7F37">
        <w:rPr>
          <w:rFonts w:ascii="Times New Roman" w:hAnsi="Times New Roman" w:cs="Times New Roman"/>
          <w:sz w:val="28"/>
          <w:szCs w:val="28"/>
        </w:rPr>
        <w:t xml:space="preserve">для технологического тепла в химической, бумажной, производственной, пищевой промышленности и производстве напитков. Для обогрева помещений требуется 96,2 </w:t>
      </w:r>
      <w:proofErr w:type="spellStart"/>
      <w:r w:rsidR="00E60CFD" w:rsidRPr="000B7F37">
        <w:rPr>
          <w:rFonts w:ascii="Times New Roman" w:hAnsi="Times New Roman" w:cs="Times New Roman"/>
          <w:sz w:val="28"/>
          <w:szCs w:val="28"/>
        </w:rPr>
        <w:t>ТВтч</w:t>
      </w:r>
      <w:proofErr w:type="spellEnd"/>
      <w:r w:rsidR="00E60CFD" w:rsidRPr="000B7F37">
        <w:rPr>
          <w:rFonts w:ascii="Times New Roman" w:hAnsi="Times New Roman" w:cs="Times New Roman"/>
          <w:sz w:val="28"/>
          <w:szCs w:val="28"/>
        </w:rPr>
        <w:t xml:space="preserve"> энергии в год. Наиболее важные меры по повышению </w:t>
      </w:r>
      <w:proofErr w:type="spellStart"/>
      <w:r w:rsidR="00E60CFD" w:rsidRPr="000B7F37">
        <w:rPr>
          <w:rFonts w:ascii="Times New Roman" w:hAnsi="Times New Roman" w:cs="Times New Roman"/>
          <w:sz w:val="28"/>
          <w:szCs w:val="28"/>
        </w:rPr>
        <w:t>энергоэффективности</w:t>
      </w:r>
      <w:proofErr w:type="spellEnd"/>
      <w:r w:rsidR="00E60CFD" w:rsidRPr="000B7F37">
        <w:rPr>
          <w:rFonts w:ascii="Times New Roman" w:hAnsi="Times New Roman" w:cs="Times New Roman"/>
          <w:sz w:val="28"/>
          <w:szCs w:val="28"/>
        </w:rPr>
        <w:t xml:space="preserve"> включают более широкое использование рекуперации тепла, оптимизацию горелок и котлов, управление с учетом потребностей и улучшение теплоизоляции. Таким образом</w:t>
      </w:r>
      <w:r>
        <w:rPr>
          <w:rFonts w:ascii="Times New Roman" w:hAnsi="Times New Roman" w:cs="Times New Roman"/>
          <w:sz w:val="28"/>
          <w:szCs w:val="28"/>
        </w:rPr>
        <w:t>,</w:t>
      </w:r>
      <w:r w:rsidR="00E60CFD" w:rsidRPr="000B7F37">
        <w:rPr>
          <w:rFonts w:ascii="Times New Roman" w:hAnsi="Times New Roman" w:cs="Times New Roman"/>
          <w:sz w:val="28"/>
          <w:szCs w:val="28"/>
        </w:rPr>
        <w:t xml:space="preserve"> можно с</w:t>
      </w:r>
      <w:r w:rsidR="009545FF">
        <w:rPr>
          <w:rFonts w:ascii="Times New Roman" w:hAnsi="Times New Roman" w:cs="Times New Roman"/>
          <w:sz w:val="28"/>
          <w:szCs w:val="28"/>
        </w:rPr>
        <w:t>экономить в среднем 15</w:t>
      </w:r>
      <w:r>
        <w:rPr>
          <w:rFonts w:ascii="Times New Roman" w:hAnsi="Times New Roman" w:cs="Times New Roman"/>
          <w:sz w:val="28"/>
          <w:szCs w:val="28"/>
        </w:rPr>
        <w:t>%</w:t>
      </w:r>
      <w:r w:rsidR="00E60CFD" w:rsidRPr="000B7F37">
        <w:rPr>
          <w:rFonts w:ascii="Times New Roman" w:hAnsi="Times New Roman" w:cs="Times New Roman"/>
          <w:sz w:val="28"/>
          <w:szCs w:val="28"/>
        </w:rPr>
        <w:t xml:space="preserve"> энергии на каждую систему. </w:t>
      </w:r>
      <w:r>
        <w:rPr>
          <w:rFonts w:ascii="Times New Roman" w:hAnsi="Times New Roman" w:cs="Times New Roman"/>
          <w:sz w:val="28"/>
          <w:szCs w:val="28"/>
        </w:rPr>
        <w:lastRenderedPageBreak/>
        <w:t>Д</w:t>
      </w:r>
      <w:r w:rsidRPr="000B7F37">
        <w:rPr>
          <w:rFonts w:ascii="Times New Roman" w:hAnsi="Times New Roman" w:cs="Times New Roman"/>
          <w:sz w:val="28"/>
          <w:szCs w:val="28"/>
        </w:rPr>
        <w:t>ополнительное сокращение энергии и затрат может быть достигнуто</w:t>
      </w:r>
      <w:r>
        <w:rPr>
          <w:rFonts w:ascii="Times New Roman" w:hAnsi="Times New Roman" w:cs="Times New Roman"/>
          <w:sz w:val="28"/>
          <w:szCs w:val="28"/>
        </w:rPr>
        <w:t xml:space="preserve"> за счет оптимизации, адаптации и координации компонентов всей системы теплоснабжения.</w:t>
      </w:r>
    </w:p>
    <w:p w:rsidR="000B7F37" w:rsidRDefault="001158B3" w:rsidP="001158B3">
      <w:pPr>
        <w:spacing w:line="360" w:lineRule="atLeast"/>
        <w:ind w:right="283"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играет и м</w:t>
      </w:r>
      <w:r w:rsidR="00E60CFD" w:rsidRPr="000B7F37">
        <w:rPr>
          <w:rFonts w:ascii="Times New Roman" w:hAnsi="Times New Roman" w:cs="Times New Roman"/>
          <w:sz w:val="28"/>
          <w:szCs w:val="28"/>
        </w:rPr>
        <w:t>инимизация тепловых потерь.</w:t>
      </w:r>
      <w:r>
        <w:rPr>
          <w:rFonts w:ascii="Times New Roman" w:hAnsi="Times New Roman" w:cs="Times New Roman"/>
          <w:sz w:val="28"/>
          <w:szCs w:val="28"/>
        </w:rPr>
        <w:t xml:space="preserve"> Эти потери</w:t>
      </w:r>
      <w:r w:rsidR="00E60CFD" w:rsidRPr="000B7F37">
        <w:rPr>
          <w:rFonts w:ascii="Times New Roman" w:hAnsi="Times New Roman" w:cs="Times New Roman"/>
          <w:sz w:val="28"/>
          <w:szCs w:val="28"/>
        </w:rPr>
        <w:t xml:space="preserve"> могут возникать в разных точках системы теплоснабжения: у потребителя энергии, при транспортировке или при производстве энергии. В процессе, то есть у потребителей, потери энергии можно поддерживать на низком уровне, например, за счет теплоизоляции емкостей или печей соответствующего размера, что способствует снижению спроса. Чтобы ограничить потери тепла при выработке энергии, при проектировании системы следует позаботиться о том, чтобы котлы выделяли мало тепла и обладали хорошей теплоемкостью. В существующих системах потери можно уменьшить за счет очистки поверхностей нагрева и устранения утечек в камере сгорания. При выработке энергии возникают большие потери из-за высоких температур выхлопных газов, превышающих 200 ° C. Эту энергию </w:t>
      </w:r>
      <w:r>
        <w:rPr>
          <w:rFonts w:ascii="Times New Roman" w:hAnsi="Times New Roman" w:cs="Times New Roman"/>
          <w:sz w:val="28"/>
          <w:szCs w:val="28"/>
        </w:rPr>
        <w:t xml:space="preserve">также </w:t>
      </w:r>
      <w:r w:rsidR="00E60CFD" w:rsidRPr="000B7F37">
        <w:rPr>
          <w:rFonts w:ascii="Times New Roman" w:hAnsi="Times New Roman" w:cs="Times New Roman"/>
          <w:sz w:val="28"/>
          <w:szCs w:val="28"/>
        </w:rPr>
        <w:t>можно использовать с помощью мер по рекуперации тепла.</w:t>
      </w:r>
    </w:p>
    <w:p w:rsidR="005E5749" w:rsidRDefault="005E5749" w:rsidP="001158B3">
      <w:pPr>
        <w:spacing w:line="360" w:lineRule="atLeast"/>
        <w:ind w:right="283" w:firstLine="709"/>
        <w:jc w:val="both"/>
        <w:rPr>
          <w:rFonts w:ascii="Times New Roman" w:hAnsi="Times New Roman" w:cs="Times New Roman"/>
          <w:sz w:val="28"/>
          <w:szCs w:val="28"/>
        </w:rPr>
      </w:pPr>
      <w:r>
        <w:rPr>
          <w:rFonts w:ascii="Times New Roman" w:hAnsi="Times New Roman" w:cs="Times New Roman"/>
          <w:sz w:val="28"/>
          <w:szCs w:val="28"/>
        </w:rPr>
        <w:t>Таким образом, улучшение теплоемкости котельных установок, рекуперация тепла, повышение теплоизоляции, координация и адаптация компонентов систем теплоснабжения могут существенно снизить тепловые потери и, соответственно, затраты на производство тепловой энергии.</w:t>
      </w:r>
    </w:p>
    <w:p w:rsidR="005E5749" w:rsidRDefault="005E5749" w:rsidP="001158B3">
      <w:pPr>
        <w:spacing w:line="360" w:lineRule="atLeast"/>
        <w:ind w:right="283" w:firstLine="709"/>
        <w:jc w:val="both"/>
        <w:rPr>
          <w:rFonts w:ascii="Times New Roman" w:hAnsi="Times New Roman" w:cs="Times New Roman"/>
          <w:sz w:val="28"/>
          <w:szCs w:val="28"/>
        </w:rPr>
      </w:pPr>
    </w:p>
    <w:p w:rsidR="001158B3" w:rsidRPr="001158B3" w:rsidRDefault="001158B3" w:rsidP="001158B3">
      <w:pPr>
        <w:pStyle w:val="a4"/>
        <w:jc w:val="center"/>
        <w:rPr>
          <w:rFonts w:ascii="Times New Roman" w:hAnsi="Times New Roman" w:cs="Times New Roman"/>
          <w:b/>
          <w:spacing w:val="-4"/>
          <w:sz w:val="28"/>
          <w:szCs w:val="28"/>
        </w:rPr>
      </w:pPr>
      <w:r w:rsidRPr="001158B3">
        <w:rPr>
          <w:rFonts w:ascii="Times New Roman" w:hAnsi="Times New Roman" w:cs="Times New Roman"/>
          <w:b/>
          <w:spacing w:val="-4"/>
          <w:sz w:val="28"/>
          <w:szCs w:val="28"/>
        </w:rPr>
        <w:t>Источники</w:t>
      </w:r>
    </w:p>
    <w:p w:rsidR="001158B3" w:rsidRPr="000B7F37" w:rsidRDefault="001158B3" w:rsidP="001158B3">
      <w:pPr>
        <w:spacing w:line="360" w:lineRule="atLeast"/>
        <w:ind w:right="283" w:firstLine="709"/>
        <w:jc w:val="both"/>
        <w:rPr>
          <w:rFonts w:ascii="Times New Roman" w:hAnsi="Times New Roman" w:cs="Times New Roman"/>
          <w:sz w:val="28"/>
          <w:szCs w:val="28"/>
        </w:rPr>
      </w:pPr>
    </w:p>
    <w:p w:rsidR="00E60CFD" w:rsidRPr="008A6C63" w:rsidRDefault="00927066" w:rsidP="0024648D">
      <w:pPr>
        <w:pStyle w:val="a5"/>
        <w:numPr>
          <w:ilvl w:val="0"/>
          <w:numId w:val="1"/>
        </w:numPr>
        <w:spacing w:before="240" w:line="360" w:lineRule="atLeast"/>
        <w:ind w:left="0" w:right="283" w:firstLine="709"/>
        <w:jc w:val="both"/>
        <w:rPr>
          <w:rFonts w:ascii="Times New Roman" w:hAnsi="Times New Roman" w:cs="Times New Roman"/>
          <w:sz w:val="28"/>
          <w:szCs w:val="28"/>
        </w:rPr>
      </w:pPr>
      <w:hyperlink r:id="rId5" w:history="1">
        <w:r w:rsidR="005E5749" w:rsidRPr="008A6C63">
          <w:rPr>
            <w:rStyle w:val="a3"/>
            <w:rFonts w:ascii="Times New Roman" w:hAnsi="Times New Roman" w:cs="Times New Roman"/>
            <w:color w:val="auto"/>
            <w:sz w:val="28"/>
            <w:szCs w:val="28"/>
            <w:u w:val="none"/>
          </w:rPr>
          <w:t>https://www.dena.de/fileadmin/dena/Dokumente/Pdf/1389_Energetische_Modernisierung_industrieller_Waermeversorgungssysteme_ESD.pdf</w:t>
        </w:r>
      </w:hyperlink>
      <w:r w:rsidR="00E60CFD" w:rsidRPr="008A6C63">
        <w:rPr>
          <w:rFonts w:ascii="Times New Roman" w:hAnsi="Times New Roman" w:cs="Times New Roman"/>
          <w:sz w:val="28"/>
          <w:szCs w:val="28"/>
        </w:rPr>
        <w:t>)</w:t>
      </w:r>
      <w:r w:rsidR="008A6C63">
        <w:rPr>
          <w:rFonts w:ascii="Times New Roman" w:hAnsi="Times New Roman" w:cs="Times New Roman"/>
          <w:sz w:val="28"/>
          <w:szCs w:val="28"/>
        </w:rPr>
        <w:t xml:space="preserve"> </w:t>
      </w:r>
      <w:r w:rsidR="005E5749" w:rsidRPr="008A6C63">
        <w:rPr>
          <w:rFonts w:ascii="Times New Roman" w:hAnsi="Times New Roman" w:cs="Times New Roman"/>
          <w:sz w:val="28"/>
          <w:szCs w:val="28"/>
        </w:rPr>
        <w:t>(дата обращения 18.11.2020)</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68.6pt">
            <v:imagedata r:id="rId6" o:title="1abe5d7b-ba46-44db-b2b7-e8de83c07079"/>
          </v:shape>
        </w:pict>
      </w:r>
    </w:p>
    <w:sectPr w:rsidR="00E60CFD" w:rsidRPr="008A6C63" w:rsidSect="000B7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95912"/>
    <w:multiLevelType w:val="hybridMultilevel"/>
    <w:tmpl w:val="EA52F904"/>
    <w:lvl w:ilvl="0" w:tplc="B5B20AAC">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D0"/>
    <w:rsid w:val="000B7F37"/>
    <w:rsid w:val="001158B3"/>
    <w:rsid w:val="002315D0"/>
    <w:rsid w:val="005916FE"/>
    <w:rsid w:val="005E5749"/>
    <w:rsid w:val="006732C5"/>
    <w:rsid w:val="008A6C63"/>
    <w:rsid w:val="008B0247"/>
    <w:rsid w:val="008B4FD0"/>
    <w:rsid w:val="00927066"/>
    <w:rsid w:val="009545FF"/>
    <w:rsid w:val="00AC68FF"/>
    <w:rsid w:val="00B310D5"/>
    <w:rsid w:val="00BB658C"/>
    <w:rsid w:val="00C16C39"/>
    <w:rsid w:val="00CC3FA3"/>
    <w:rsid w:val="00CC461F"/>
    <w:rsid w:val="00D76F0E"/>
    <w:rsid w:val="00E60CFD"/>
    <w:rsid w:val="00E86277"/>
    <w:rsid w:val="00F0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C5708-F6FE-4701-BC79-D3AB35CF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CFD"/>
    <w:rPr>
      <w:color w:val="0563C1" w:themeColor="hyperlink"/>
      <w:u w:val="single"/>
    </w:rPr>
  </w:style>
  <w:style w:type="paragraph" w:styleId="a4">
    <w:name w:val="No Spacing"/>
    <w:uiPriority w:val="1"/>
    <w:qFormat/>
    <w:rsid w:val="001158B3"/>
    <w:pPr>
      <w:spacing w:after="0" w:line="240" w:lineRule="auto"/>
    </w:pPr>
  </w:style>
  <w:style w:type="paragraph" w:styleId="a5">
    <w:name w:val="List Paragraph"/>
    <w:basedOn w:val="a"/>
    <w:uiPriority w:val="34"/>
    <w:qFormat/>
    <w:rsid w:val="005E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ena.de/fileadmin/dena/Dokumente/Pdf/1389_Energetische_Modernisierung_industrieller_Waermeversorgungssysteme_ESD.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2020-11-24T20:13:00Z</dcterms:created>
  <dcterms:modified xsi:type="dcterms:W3CDTF">2020-11-25T11:14:00Z</dcterms:modified>
</cp:coreProperties>
</file>