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8" w:lineRule="auto" w:before="77"/>
        <w:ind w:left="1220" w:right="446" w:firstLine="0"/>
        <w:jc w:val="center"/>
        <w:rPr>
          <w:b/>
          <w:sz w:val="26"/>
        </w:rPr>
      </w:pPr>
      <w:r>
        <w:rPr>
          <w:b/>
          <w:sz w:val="26"/>
        </w:rPr>
        <w:t>МИНИСТЕРСТВО НАУКИ И ВЫСШЕГО ОБРАЗОВАНИЯ РОССИЙСКОЙ ФЕДЕРАЦИИ</w:t>
      </w:r>
    </w:p>
    <w:p>
      <w:pPr>
        <w:spacing w:before="3"/>
        <w:ind w:left="847" w:right="84" w:firstLine="0"/>
        <w:jc w:val="center"/>
        <w:rPr>
          <w:b/>
          <w:sz w:val="26"/>
        </w:rPr>
      </w:pPr>
      <w:r>
        <w:rPr>
          <w:b/>
          <w:sz w:val="26"/>
        </w:rPr>
        <w:t>МИНИСТЕРСТВО ОБРАЗОВАНИЯ И НАУКИ РЕСПУБЛИКИ ТАТАРСТАН</w:t>
      </w:r>
    </w:p>
    <w:p>
      <w:pPr>
        <w:spacing w:before="61"/>
        <w:ind w:left="1220" w:right="449" w:firstLine="0"/>
        <w:jc w:val="center"/>
        <w:rPr>
          <w:b/>
          <w:sz w:val="26"/>
        </w:rPr>
      </w:pPr>
      <w:r>
        <w:rPr>
          <w:b/>
          <w:sz w:val="26"/>
        </w:rPr>
        <w:t>Благотворительный фонд «Надежная смена»</w:t>
      </w:r>
    </w:p>
    <w:p>
      <w:pPr>
        <w:spacing w:line="288" w:lineRule="auto" w:before="61"/>
        <w:ind w:left="1220" w:right="455" w:firstLine="0"/>
        <w:jc w:val="center"/>
        <w:rPr>
          <w:b/>
          <w:sz w:val="26"/>
        </w:rPr>
      </w:pPr>
      <w:r>
        <w:rPr>
          <w:b/>
          <w:sz w:val="26"/>
        </w:rPr>
        <w:t>Федеральное государственное бюджетное образовательное учреждение высшего образования</w:t>
      </w:r>
    </w:p>
    <w:p>
      <w:pPr>
        <w:spacing w:before="3"/>
        <w:ind w:left="1220" w:right="460" w:firstLine="0"/>
        <w:jc w:val="center"/>
        <w:rPr>
          <w:b/>
          <w:sz w:val="26"/>
        </w:rPr>
      </w:pPr>
      <w:r>
        <w:rPr>
          <w:b/>
          <w:sz w:val="26"/>
        </w:rPr>
        <w:t>«Казанский государственный энергетический университет»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33"/>
        </w:rPr>
      </w:pPr>
    </w:p>
    <w:p>
      <w:pPr>
        <w:pStyle w:val="Heading1"/>
      </w:pPr>
      <w:r>
        <w:rPr/>
        <w:t>ТИНЧУРИНСКИЕ ЧТЕНИЯ-2020</w:t>
      </w:r>
    </w:p>
    <w:p>
      <w:pPr>
        <w:pStyle w:val="BodyText"/>
        <w:spacing w:before="10"/>
        <w:rPr>
          <w:b/>
          <w:sz w:val="31"/>
        </w:rPr>
      </w:pPr>
    </w:p>
    <w:p>
      <w:pPr>
        <w:spacing w:before="0"/>
        <w:ind w:left="1220" w:right="448" w:firstLine="0"/>
        <w:jc w:val="center"/>
        <w:rPr>
          <w:b/>
          <w:sz w:val="32"/>
        </w:rPr>
      </w:pPr>
      <w:r>
        <w:rPr>
          <w:b/>
          <w:sz w:val="32"/>
        </w:rPr>
        <w:t>«ЭНЕРГЕТИКА И ЦИФРОВАЯ ТРАНСФОРМАЦИЯ»</w:t>
      </w:r>
    </w:p>
    <w:p>
      <w:pPr>
        <w:pStyle w:val="BodyText"/>
        <w:rPr>
          <w:b/>
          <w:sz w:val="36"/>
        </w:rPr>
      </w:pPr>
    </w:p>
    <w:p>
      <w:pPr>
        <w:spacing w:before="323"/>
        <w:ind w:left="2388" w:right="1612" w:firstLine="0"/>
        <w:jc w:val="center"/>
        <w:rPr>
          <w:b/>
          <w:sz w:val="32"/>
        </w:rPr>
      </w:pPr>
      <w:r>
        <w:rPr>
          <w:b/>
          <w:sz w:val="32"/>
        </w:rPr>
        <w:t>XV МЕЖДУНАРОДНАЯ МОЛОДЕЖНАЯ НАУЧНАЯ КОНФЕРЕНЦИЯ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Heading2"/>
        <w:spacing w:before="293"/>
        <w:ind w:right="447"/>
      </w:pPr>
      <w:r>
        <w:rPr/>
        <w:t>ПРОГРАММА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35"/>
        </w:rPr>
      </w:pPr>
    </w:p>
    <w:p>
      <w:pPr>
        <w:spacing w:before="0"/>
        <w:ind w:left="1220" w:right="459" w:firstLine="0"/>
        <w:jc w:val="center"/>
        <w:rPr>
          <w:b/>
          <w:sz w:val="28"/>
        </w:rPr>
      </w:pPr>
      <w:r>
        <w:rPr>
          <w:b/>
          <w:sz w:val="28"/>
        </w:rPr>
        <w:t>28-29 апреля 2020 г.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42"/>
        </w:rPr>
      </w:pPr>
    </w:p>
    <w:p>
      <w:pPr>
        <w:spacing w:before="0"/>
        <w:ind w:left="1220" w:right="451" w:firstLine="0"/>
        <w:jc w:val="center"/>
        <w:rPr>
          <w:b/>
          <w:sz w:val="28"/>
        </w:rPr>
      </w:pPr>
      <w:r>
        <w:rPr>
          <w:b/>
          <w:sz w:val="28"/>
        </w:rPr>
        <w:t>Казань 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380" w:bottom="280" w:left="660" w:right="980"/>
        </w:sectPr>
      </w:pPr>
    </w:p>
    <w:p>
      <w:pPr>
        <w:spacing w:before="74"/>
        <w:ind w:left="437" w:right="563" w:firstLine="0"/>
        <w:jc w:val="center"/>
        <w:rPr>
          <w:b/>
          <w:sz w:val="28"/>
        </w:rPr>
      </w:pPr>
      <w:r>
        <w:rPr>
          <w:b/>
          <w:sz w:val="28"/>
        </w:rPr>
        <w:t>ОРГАНИЗАТОРЫ</w:t>
      </w:r>
    </w:p>
    <w:p>
      <w:pPr>
        <w:pStyle w:val="BodyText"/>
        <w:spacing w:before="8"/>
        <w:rPr>
          <w:b/>
          <w:sz w:val="38"/>
        </w:rPr>
      </w:pPr>
    </w:p>
    <w:p>
      <w:pPr>
        <w:spacing w:line="314" w:lineRule="auto" w:before="0"/>
        <w:ind w:left="1220" w:right="1350" w:firstLine="0"/>
        <w:jc w:val="center"/>
        <w:rPr>
          <w:b/>
          <w:sz w:val="24"/>
        </w:rPr>
      </w:pPr>
      <w:r>
        <w:rPr>
          <w:b/>
          <w:sz w:val="24"/>
        </w:rPr>
        <w:t>МИНИСТЕРСТВО НАУКИ И ВЫСШЕГО ОБРАЗОВАНИЯ РОССИЙСКОЙ ФЕДЕРАЦИИ</w:t>
      </w:r>
    </w:p>
    <w:p>
      <w:pPr>
        <w:spacing w:line="274" w:lineRule="exact" w:before="0"/>
        <w:ind w:left="427" w:right="563" w:firstLine="0"/>
        <w:jc w:val="center"/>
        <w:rPr>
          <w:b/>
          <w:sz w:val="24"/>
        </w:rPr>
      </w:pPr>
      <w:r>
        <w:rPr>
          <w:b/>
          <w:sz w:val="24"/>
        </w:rPr>
        <w:t>МИНИСТЕРСТВО ОБРАЗОВАНИЯ И НАУКИ РЕСПУБЛИКИ ТАТАРСТАН</w:t>
      </w:r>
    </w:p>
    <w:p>
      <w:pPr>
        <w:pStyle w:val="Heading2"/>
        <w:spacing w:before="37"/>
        <w:ind w:left="2192" w:right="0"/>
        <w:jc w:val="left"/>
      </w:pPr>
      <w:r>
        <w:rPr/>
        <w:t>Благотворительный фонд «Надежная смена»</w:t>
      </w:r>
    </w:p>
    <w:p>
      <w:pPr>
        <w:spacing w:line="268" w:lineRule="auto" w:before="38"/>
        <w:ind w:left="3675" w:right="0" w:hanging="3121"/>
        <w:jc w:val="left"/>
        <w:rPr>
          <w:b/>
          <w:sz w:val="28"/>
        </w:rPr>
      </w:pPr>
      <w:r>
        <w:rPr>
          <w:b/>
          <w:sz w:val="28"/>
        </w:rPr>
        <w:t>Федеральное государственное бюджетное образовательное учреждение высшего образования</w:t>
      </w:r>
    </w:p>
    <w:p>
      <w:pPr>
        <w:spacing w:line="537" w:lineRule="auto" w:before="0"/>
        <w:ind w:left="417" w:right="563" w:firstLine="0"/>
        <w:jc w:val="center"/>
        <w:rPr>
          <w:b/>
          <w:sz w:val="28"/>
        </w:rPr>
      </w:pPr>
      <w:r>
        <w:rPr>
          <w:b/>
          <w:sz w:val="28"/>
        </w:rPr>
        <w:t>«Казанский государственный энергетический университет» ОРГКОМИТЕТ</w:t>
      </w:r>
    </w:p>
    <w:p>
      <w:pPr>
        <w:spacing w:line="320" w:lineRule="exact" w:before="0"/>
        <w:ind w:left="425" w:right="563" w:firstLine="0"/>
        <w:jc w:val="center"/>
        <w:rPr>
          <w:b/>
          <w:sz w:val="28"/>
        </w:rPr>
      </w:pPr>
      <w:r>
        <w:rPr>
          <w:b/>
          <w:sz w:val="28"/>
        </w:rPr>
        <w:t>Председатель оргкомитета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BodyText"/>
        <w:tabs>
          <w:tab w:pos="3138" w:val="left" w:leader="none"/>
        </w:tabs>
        <w:ind w:left="305"/>
      </w:pPr>
      <w:r>
        <w:rPr/>
        <w:t>Абдуллазянов</w:t>
      </w:r>
      <w:r>
        <w:rPr>
          <w:spacing w:val="-3"/>
        </w:rPr>
        <w:t> </w:t>
      </w:r>
      <w:r>
        <w:rPr/>
        <w:t>Э.Ю.</w:t>
        <w:tab/>
        <w:t>ректор</w:t>
      </w:r>
      <w:r>
        <w:rPr>
          <w:spacing w:val="1"/>
        </w:rPr>
        <w:t> </w:t>
      </w:r>
      <w:r>
        <w:rPr/>
        <w:t>КГЭУ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426"/>
      </w:pPr>
      <w:r>
        <w:rPr/>
        <w:t>Заместитель председателя</w:t>
      </w:r>
    </w:p>
    <w:p>
      <w:pPr>
        <w:pStyle w:val="BodyText"/>
        <w:tabs>
          <w:tab w:pos="3138" w:val="left" w:leader="none"/>
        </w:tabs>
        <w:spacing w:before="154"/>
        <w:ind w:left="305"/>
      </w:pPr>
      <w:r>
        <w:rPr/>
        <w:t>Ахметова</w:t>
      </w:r>
      <w:r>
        <w:rPr>
          <w:spacing w:val="1"/>
        </w:rPr>
        <w:t> </w:t>
      </w:r>
      <w:r>
        <w:rPr/>
        <w:t>И.Г.</w:t>
        <w:tab/>
        <w:t>проректор по научной работе</w:t>
      </w:r>
      <w:r>
        <w:rPr>
          <w:spacing w:val="3"/>
        </w:rPr>
        <w:t> </w:t>
      </w:r>
      <w:r>
        <w:rPr/>
        <w:t>КГЭУ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432"/>
      </w:pPr>
      <w:r>
        <w:rPr/>
        <w:t>Члены оргкомитета</w:t>
      </w:r>
    </w:p>
    <w:p>
      <w:pPr>
        <w:pStyle w:val="BodyText"/>
        <w:tabs>
          <w:tab w:pos="3138" w:val="left" w:leader="none"/>
        </w:tabs>
        <w:spacing w:before="134"/>
        <w:ind w:left="305"/>
      </w:pPr>
      <w:r>
        <w:rPr/>
        <w:t>Зиганшин</w:t>
      </w:r>
      <w:r>
        <w:rPr>
          <w:spacing w:val="-3"/>
        </w:rPr>
        <w:t> </w:t>
      </w:r>
      <w:r>
        <w:rPr/>
        <w:t>А.Д.</w:t>
        <w:tab/>
        <w:t>проректор по АХР</w:t>
      </w:r>
      <w:r>
        <w:rPr>
          <w:spacing w:val="1"/>
        </w:rPr>
        <w:t> </w:t>
      </w:r>
      <w:r>
        <w:rPr/>
        <w:t>КГЭУ</w:t>
      </w:r>
    </w:p>
    <w:p>
      <w:pPr>
        <w:pStyle w:val="BodyText"/>
        <w:tabs>
          <w:tab w:pos="3138" w:val="left" w:leader="none"/>
        </w:tabs>
        <w:spacing w:line="254" w:lineRule="auto" w:before="19"/>
        <w:ind w:left="3138" w:right="439" w:hanging="2833"/>
      </w:pPr>
      <w:r>
        <w:rPr/>
        <w:t>Жукова</w:t>
      </w:r>
      <w:r>
        <w:rPr>
          <w:spacing w:val="2"/>
        </w:rPr>
        <w:t> </w:t>
      </w:r>
      <w:r>
        <w:rPr/>
        <w:t>И.В.</w:t>
        <w:tab/>
        <w:t>проректор по внеучебной и воспитательной работе КГЭУ</w:t>
      </w:r>
    </w:p>
    <w:p>
      <w:pPr>
        <w:pStyle w:val="BodyText"/>
        <w:tabs>
          <w:tab w:pos="3138" w:val="left" w:leader="none"/>
        </w:tabs>
        <w:spacing w:line="254" w:lineRule="auto"/>
        <w:ind w:left="305" w:right="2942"/>
      </w:pPr>
      <w:r>
        <w:rPr/>
        <w:t>Шамсутдинов</w:t>
      </w:r>
      <w:r>
        <w:rPr>
          <w:spacing w:val="-4"/>
        </w:rPr>
        <w:t> </w:t>
      </w:r>
      <w:r>
        <w:rPr/>
        <w:t>Э.В.</w:t>
        <w:tab/>
        <w:t>директор департамента РВС</w:t>
      </w:r>
      <w:r>
        <w:rPr>
          <w:spacing w:val="-22"/>
        </w:rPr>
        <w:t> </w:t>
      </w:r>
      <w:r>
        <w:rPr/>
        <w:t>КГЭУ Ильин</w:t>
      </w:r>
      <w:r>
        <w:rPr>
          <w:spacing w:val="1"/>
        </w:rPr>
        <w:t> </w:t>
      </w:r>
      <w:r>
        <w:rPr/>
        <w:t>В.К.</w:t>
        <w:tab/>
        <w:t>директор департамента </w:t>
      </w:r>
      <w:r>
        <w:rPr>
          <w:spacing w:val="-3"/>
        </w:rPr>
        <w:t>НО</w:t>
      </w:r>
      <w:r>
        <w:rPr>
          <w:spacing w:val="-6"/>
        </w:rPr>
        <w:t> </w:t>
      </w:r>
      <w:r>
        <w:rPr/>
        <w:t>КГЭУ</w:t>
      </w:r>
    </w:p>
    <w:p>
      <w:pPr>
        <w:pStyle w:val="BodyText"/>
        <w:tabs>
          <w:tab w:pos="3138" w:val="left" w:leader="none"/>
        </w:tabs>
        <w:spacing w:line="254" w:lineRule="auto"/>
        <w:ind w:left="305" w:right="439"/>
      </w:pPr>
      <w:r>
        <w:rPr/>
        <w:t>Ляпин</w:t>
      </w:r>
      <w:r>
        <w:rPr>
          <w:spacing w:val="-1"/>
        </w:rPr>
        <w:t> </w:t>
      </w:r>
      <w:r>
        <w:rPr/>
        <w:t>А.И.</w:t>
        <w:tab/>
        <w:t>и.о. директора института теплоэнергетики КГЭУ Ившин И.В.</w:t>
        <w:tab/>
        <w:t>директор института электроэнергетики и</w:t>
      </w:r>
      <w:r>
        <w:rPr>
          <w:spacing w:val="30"/>
        </w:rPr>
        <w:t> </w:t>
      </w:r>
      <w:r>
        <w:rPr/>
        <w:t>электроники</w:t>
      </w:r>
    </w:p>
    <w:p>
      <w:pPr>
        <w:pStyle w:val="BodyText"/>
        <w:spacing w:line="322" w:lineRule="exact"/>
        <w:ind w:left="3138"/>
      </w:pPr>
      <w:r>
        <w:rPr/>
        <w:t>КГЭУ</w:t>
      </w:r>
    </w:p>
    <w:p>
      <w:pPr>
        <w:pStyle w:val="BodyText"/>
        <w:tabs>
          <w:tab w:pos="3138" w:val="left" w:leader="none"/>
        </w:tabs>
        <w:spacing w:line="254" w:lineRule="auto" w:before="12"/>
        <w:ind w:left="3138" w:right="442" w:hanging="2833"/>
      </w:pPr>
      <w:r>
        <w:rPr/>
        <w:t>Торкунова</w:t>
      </w:r>
      <w:r>
        <w:rPr>
          <w:spacing w:val="-3"/>
        </w:rPr>
        <w:t> </w:t>
      </w:r>
      <w:r>
        <w:rPr/>
        <w:t>Ю.В.</w:t>
        <w:tab/>
        <w:t>директор института цифровых технологий и</w:t>
      </w:r>
      <w:r>
        <w:rPr>
          <w:spacing w:val="-32"/>
        </w:rPr>
        <w:t> </w:t>
      </w:r>
      <w:r>
        <w:rPr/>
        <w:t>экономики КГЭУ</w:t>
      </w:r>
    </w:p>
    <w:p>
      <w:pPr>
        <w:pStyle w:val="BodyText"/>
        <w:tabs>
          <w:tab w:pos="3138" w:val="left" w:leader="none"/>
        </w:tabs>
        <w:spacing w:line="321" w:lineRule="exact"/>
        <w:ind w:left="305"/>
      </w:pPr>
      <w:r>
        <w:rPr/>
        <w:t>Сафина</w:t>
      </w:r>
      <w:r>
        <w:rPr>
          <w:spacing w:val="-1"/>
        </w:rPr>
        <w:t> </w:t>
      </w:r>
      <w:r>
        <w:rPr/>
        <w:t>Г.Г.</w:t>
        <w:tab/>
        <w:t>и.о. начальника РИО</w:t>
      </w:r>
      <w:r>
        <w:rPr>
          <w:spacing w:val="6"/>
        </w:rPr>
        <w:t> </w:t>
      </w:r>
      <w:r>
        <w:rPr/>
        <w:t>КГЭУ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432"/>
      </w:pPr>
      <w:r>
        <w:rPr/>
        <w:t>Ответственный секретарь</w:t>
      </w:r>
    </w:p>
    <w:p>
      <w:pPr>
        <w:pStyle w:val="BodyText"/>
        <w:tabs>
          <w:tab w:pos="3138" w:val="left" w:leader="none"/>
        </w:tabs>
        <w:spacing w:before="154"/>
        <w:ind w:left="305"/>
      </w:pPr>
      <w:r>
        <w:rPr/>
        <w:t>Арзамасова</w:t>
      </w:r>
      <w:r>
        <w:rPr>
          <w:spacing w:val="-3"/>
        </w:rPr>
        <w:t> </w:t>
      </w:r>
      <w:r>
        <w:rPr/>
        <w:t>А.Г.</w:t>
        <w:tab/>
        <w:t>и.о. начальника ОНИРС</w:t>
      </w:r>
      <w:r>
        <w:rPr>
          <w:spacing w:val="8"/>
        </w:rPr>
        <w:t> </w:t>
      </w:r>
      <w:r>
        <w:rPr/>
        <w:t>КГЭУ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2"/>
        <w:spacing w:before="1"/>
        <w:ind w:left="426"/>
      </w:pPr>
      <w:r>
        <w:rPr/>
        <w:t>Технический секретариат</w:t>
      </w:r>
    </w:p>
    <w:p>
      <w:pPr>
        <w:pStyle w:val="BodyText"/>
        <w:tabs>
          <w:tab w:pos="3138" w:val="left" w:leader="none"/>
        </w:tabs>
        <w:spacing w:before="153"/>
        <w:ind w:left="305"/>
      </w:pPr>
      <w:r>
        <w:rPr/>
        <w:t>Ибадов</w:t>
      </w:r>
      <w:r>
        <w:rPr>
          <w:spacing w:val="-2"/>
        </w:rPr>
        <w:t> </w:t>
      </w:r>
      <w:r>
        <w:rPr/>
        <w:t>А.А.</w:t>
        <w:tab/>
        <w:t>инженер ОНИРС</w:t>
      </w:r>
      <w:r>
        <w:rPr>
          <w:spacing w:val="2"/>
        </w:rPr>
        <w:t> </w:t>
      </w:r>
      <w:r>
        <w:rPr/>
        <w:t>КГЭУ</w:t>
      </w:r>
    </w:p>
    <w:p>
      <w:pPr>
        <w:pStyle w:val="BodyText"/>
        <w:tabs>
          <w:tab w:pos="3138" w:val="left" w:leader="none"/>
        </w:tabs>
        <w:spacing w:line="268" w:lineRule="auto" w:before="38"/>
        <w:ind w:left="305" w:right="1892"/>
      </w:pPr>
      <w:r>
        <w:rPr/>
        <w:t>Григорьева</w:t>
      </w:r>
      <w:r>
        <w:rPr>
          <w:spacing w:val="-3"/>
        </w:rPr>
        <w:t> </w:t>
      </w:r>
      <w:r>
        <w:rPr/>
        <w:t>М.О.</w:t>
        <w:tab/>
        <w:t>инженер ОНИРС, председатель СНО</w:t>
      </w:r>
      <w:r>
        <w:rPr>
          <w:spacing w:val="-24"/>
        </w:rPr>
        <w:t> </w:t>
      </w:r>
      <w:r>
        <w:rPr/>
        <w:t>КГЭУ Цветкова</w:t>
      </w:r>
      <w:r>
        <w:rPr>
          <w:spacing w:val="-4"/>
        </w:rPr>
        <w:t> </w:t>
      </w:r>
      <w:r>
        <w:rPr/>
        <w:t>О.В.</w:t>
        <w:tab/>
        <w:t>инженер кафедры </w:t>
      </w:r>
      <w:r>
        <w:rPr>
          <w:spacing w:val="-3"/>
        </w:rPr>
        <w:t>ПМ</w:t>
      </w:r>
      <w:r>
        <w:rPr>
          <w:spacing w:val="3"/>
        </w:rPr>
        <w:t> </w:t>
      </w:r>
      <w:r>
        <w:rPr/>
        <w:t>КГЭУ</w:t>
      </w:r>
    </w:p>
    <w:p>
      <w:pPr>
        <w:spacing w:after="0" w:line="268" w:lineRule="auto"/>
        <w:sectPr>
          <w:pgSz w:w="11910" w:h="16840"/>
          <w:pgMar w:top="1360" w:bottom="280" w:left="660" w:right="980"/>
        </w:sectPr>
      </w:pPr>
    </w:p>
    <w:p>
      <w:pPr>
        <w:pStyle w:val="BodyText"/>
        <w:spacing w:before="65"/>
        <w:ind w:left="438" w:right="563"/>
        <w:jc w:val="center"/>
      </w:pPr>
      <w:r>
        <w:rPr/>
        <w:t>24</w:t>
      </w:r>
    </w:p>
    <w:p>
      <w:pPr>
        <w:pStyle w:val="BodyText"/>
        <w:spacing w:before="5"/>
        <w:rPr>
          <w:sz w:val="35"/>
        </w:rPr>
      </w:pPr>
    </w:p>
    <w:p>
      <w:pPr>
        <w:pStyle w:val="Heading2"/>
        <w:ind w:left="427"/>
      </w:pPr>
      <w:r>
        <w:rPr/>
        <w:t>НАПРАВЛЕНИЕ: ТЕПЛОЭНЕРГЕТИКА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5"/>
        <w:gridCol w:w="7625"/>
      </w:tblGrid>
      <w:tr>
        <w:trPr>
          <w:trHeight w:val="536" w:hRule="atLeast"/>
        </w:trPr>
        <w:tc>
          <w:tcPr>
            <w:tcW w:w="2255" w:type="dxa"/>
          </w:tcPr>
          <w:p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 1.</w:t>
            </w:r>
          </w:p>
        </w:tc>
        <w:tc>
          <w:tcPr>
            <w:tcW w:w="7625" w:type="dxa"/>
          </w:tcPr>
          <w:p>
            <w:pPr>
              <w:pStyle w:val="TableParagraph"/>
              <w:spacing w:line="309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ИННОВАЦИОННЫЕ ТЕХНОЛОГИИ НА ТЭС И ЖКХ</w:t>
            </w:r>
          </w:p>
        </w:tc>
      </w:tr>
      <w:tr>
        <w:trPr>
          <w:trHeight w:val="893" w:hRule="atLeast"/>
        </w:trPr>
        <w:tc>
          <w:tcPr>
            <w:tcW w:w="2255" w:type="dxa"/>
          </w:tcPr>
          <w:p>
            <w:pPr>
              <w:pStyle w:val="TableParagraph"/>
              <w:spacing w:line="240" w:lineRule="auto" w:before="214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Председатели:</w:t>
            </w:r>
          </w:p>
        </w:tc>
        <w:tc>
          <w:tcPr>
            <w:tcW w:w="7625" w:type="dxa"/>
          </w:tcPr>
          <w:p>
            <w:pPr>
              <w:pStyle w:val="TableParagraph"/>
              <w:spacing w:line="340" w:lineRule="atLeast" w:before="196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Чичирова Н.Д., д-р хим. наук, профессор, зав. кафедрой ТЭС</w:t>
            </w:r>
          </w:p>
        </w:tc>
      </w:tr>
      <w:tr>
        <w:trPr>
          <w:trHeight w:val="324" w:hRule="atLeast"/>
        </w:trPr>
        <w:tc>
          <w:tcPr>
            <w:tcW w:w="225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Секретарь:</w:t>
            </w:r>
          </w:p>
        </w:tc>
        <w:tc>
          <w:tcPr>
            <w:tcW w:w="7625" w:type="dxa"/>
          </w:tcPr>
          <w:p>
            <w:pPr>
              <w:pStyle w:val="TableParagraph"/>
              <w:spacing w:before="3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Минибаев А.И., ассистент кафедры ТЭС</w:t>
            </w:r>
          </w:p>
        </w:tc>
      </w:tr>
    </w:tbl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438" w:right="563"/>
        <w:jc w:val="center"/>
      </w:pPr>
      <w:r>
        <w:rPr/>
        <w:t>28 апреля 2020 г., 13.00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89" w:val="left" w:leader="none"/>
          <w:tab w:pos="2741" w:val="left" w:leader="none"/>
          <w:tab w:pos="4128" w:val="left" w:leader="none"/>
          <w:tab w:pos="6502" w:val="left" w:leader="none"/>
          <w:tab w:pos="7898" w:val="left" w:leader="none"/>
        </w:tabs>
        <w:spacing w:line="254" w:lineRule="auto" w:before="0" w:after="0"/>
        <w:ind w:left="1015" w:right="440" w:hanging="711"/>
        <w:jc w:val="left"/>
        <w:rPr>
          <w:sz w:val="28"/>
        </w:rPr>
      </w:pPr>
      <w:r>
        <w:rPr>
          <w:b/>
          <w:sz w:val="28"/>
        </w:rPr>
        <w:t>Аверьянова А.А., Водениктов А.Д., </w:t>
      </w:r>
      <w:r>
        <w:rPr>
          <w:sz w:val="28"/>
        </w:rPr>
        <w:t>КГЭУ. Науч. рук. асс. Минибаев А.И. Методика</w:t>
        <w:tab/>
        <w:t>оценки</w:t>
        <w:tab/>
        <w:t>эффективности</w:t>
        <w:tab/>
        <w:t>работы</w:t>
        <w:tab/>
        <w:t>регенеративных воздухоподогревателей</w:t>
      </w:r>
    </w:p>
    <w:p>
      <w:pPr>
        <w:pStyle w:val="Heading2"/>
        <w:numPr>
          <w:ilvl w:val="0"/>
          <w:numId w:val="1"/>
        </w:numPr>
        <w:tabs>
          <w:tab w:pos="589" w:val="left" w:leader="none"/>
        </w:tabs>
        <w:spacing w:line="321" w:lineRule="exact" w:before="0" w:after="0"/>
        <w:ind w:left="588" w:right="0" w:hanging="284"/>
        <w:jc w:val="left"/>
        <w:rPr>
          <w:b w:val="0"/>
        </w:rPr>
      </w:pPr>
      <w:r>
        <w:rPr/>
        <w:t>Ахмедьянова К.Т., Минибаев А.И.,</w:t>
      </w:r>
      <w:r>
        <w:rPr>
          <w:spacing w:val="8"/>
        </w:rPr>
        <w:t> </w:t>
      </w:r>
      <w:r>
        <w:rPr>
          <w:b w:val="0"/>
        </w:rPr>
        <w:t>КГЭУ</w:t>
      </w:r>
    </w:p>
    <w:p>
      <w:pPr>
        <w:pStyle w:val="BodyText"/>
        <w:spacing w:before="19"/>
        <w:ind w:left="1015"/>
      </w:pPr>
      <w:r>
        <w:rPr/>
        <w:t>Деление двухфазных потоков в зоне вихревых эффектов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49" w:lineRule="auto" w:before="19" w:after="0"/>
        <w:ind w:left="1015" w:right="2727" w:hanging="711"/>
        <w:jc w:val="left"/>
        <w:rPr>
          <w:sz w:val="28"/>
        </w:rPr>
      </w:pPr>
      <w:r>
        <w:rPr>
          <w:b/>
          <w:sz w:val="28"/>
        </w:rPr>
        <w:t>Ахмедьянова К.Т., </w:t>
      </w:r>
      <w:r>
        <w:rPr>
          <w:sz w:val="28"/>
        </w:rPr>
        <w:t>КГЭУ. Науч. рук. асс. Минибаев</w:t>
      </w:r>
      <w:r>
        <w:rPr>
          <w:spacing w:val="-31"/>
          <w:sz w:val="28"/>
        </w:rPr>
        <w:t> </w:t>
      </w:r>
      <w:r>
        <w:rPr>
          <w:sz w:val="28"/>
        </w:rPr>
        <w:t>А.И. Теплообменник регенеративный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54" w:lineRule="auto" w:before="7" w:after="0"/>
        <w:ind w:left="305" w:right="432" w:firstLine="0"/>
        <w:jc w:val="left"/>
        <w:rPr>
          <w:sz w:val="28"/>
        </w:rPr>
      </w:pPr>
      <w:r>
        <w:rPr>
          <w:b/>
          <w:sz w:val="28"/>
        </w:rPr>
        <w:t>Бабиков О.Е., Чичирова Н.Д., </w:t>
      </w:r>
      <w:r>
        <w:rPr>
          <w:sz w:val="28"/>
        </w:rPr>
        <w:t>КГЭУ. Науч. рук. канд. техн. наук, доц. Власова</w:t>
      </w:r>
      <w:r>
        <w:rPr>
          <w:spacing w:val="6"/>
          <w:sz w:val="28"/>
        </w:rPr>
        <w:t> </w:t>
      </w:r>
      <w:r>
        <w:rPr>
          <w:sz w:val="28"/>
        </w:rPr>
        <w:t>А.Ю.</w:t>
      </w:r>
    </w:p>
    <w:p>
      <w:pPr>
        <w:pStyle w:val="BodyText"/>
        <w:spacing w:line="254" w:lineRule="auto"/>
        <w:ind w:left="1015" w:right="439"/>
        <w:jc w:val="both"/>
      </w:pPr>
      <w:r>
        <w:rPr/>
        <w:t>Сравнительный анализ достоинств и недостатков профилированных ионообменных     мембран      в      отличие      от      плоских      мембран в электродиализных установках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54" w:lineRule="auto" w:before="0" w:after="0"/>
        <w:ind w:left="305" w:right="432" w:firstLine="0"/>
        <w:jc w:val="both"/>
        <w:rPr>
          <w:sz w:val="28"/>
        </w:rPr>
      </w:pPr>
      <w:r>
        <w:rPr>
          <w:b/>
          <w:sz w:val="28"/>
        </w:rPr>
        <w:t>Баймяшкина О.С., Яковлев Р.Н., </w:t>
      </w:r>
      <w:r>
        <w:rPr>
          <w:sz w:val="28"/>
        </w:rPr>
        <w:t>КГЭУ. Науч. рук. канд. техн. наук, доц. Безруков</w:t>
      </w:r>
      <w:r>
        <w:rPr>
          <w:spacing w:val="-1"/>
          <w:sz w:val="28"/>
        </w:rPr>
        <w:t> </w:t>
      </w:r>
      <w:r>
        <w:rPr>
          <w:sz w:val="28"/>
        </w:rPr>
        <w:t>Р.Е.</w:t>
      </w:r>
    </w:p>
    <w:p>
      <w:pPr>
        <w:pStyle w:val="BodyText"/>
        <w:spacing w:line="254" w:lineRule="auto"/>
        <w:ind w:left="1015" w:right="442"/>
        <w:jc w:val="both"/>
      </w:pPr>
      <w:r>
        <w:rPr/>
        <w:t>Деаэрирование воды на районных котельных для нужд централизованного теплоснабжения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54" w:lineRule="auto" w:before="0" w:after="0"/>
        <w:ind w:left="305" w:right="432" w:firstLine="0"/>
        <w:jc w:val="both"/>
        <w:rPr>
          <w:sz w:val="28"/>
        </w:rPr>
      </w:pPr>
      <w:r>
        <w:rPr>
          <w:b/>
          <w:sz w:val="28"/>
        </w:rPr>
        <w:t>Вафина Р.И., Бикмурзина Л.Р., </w:t>
      </w:r>
      <w:r>
        <w:rPr>
          <w:sz w:val="28"/>
        </w:rPr>
        <w:t>КГЭУ. Науч. рук. канд. техн. наук, доц. Низамова</w:t>
      </w:r>
      <w:r>
        <w:rPr>
          <w:spacing w:val="1"/>
          <w:sz w:val="28"/>
        </w:rPr>
        <w:t> </w:t>
      </w:r>
      <w:r>
        <w:rPr>
          <w:sz w:val="28"/>
        </w:rPr>
        <w:t>А.Ш.</w:t>
      </w:r>
    </w:p>
    <w:p>
      <w:pPr>
        <w:pStyle w:val="BodyText"/>
        <w:spacing w:line="254" w:lineRule="auto"/>
        <w:ind w:left="1015" w:right="444"/>
        <w:jc w:val="both"/>
      </w:pPr>
      <w:r>
        <w:rPr/>
        <w:t>Исследование потенциала экономии топлива при повышении надежности и качества</w:t>
      </w:r>
      <w:r>
        <w:rPr>
          <w:spacing w:val="2"/>
        </w:rPr>
        <w:t> </w:t>
      </w:r>
      <w:r>
        <w:rPr/>
        <w:t>теплоснабжения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  <w:tab w:pos="2574" w:val="left" w:leader="none"/>
          <w:tab w:pos="4003" w:val="left" w:leader="none"/>
          <w:tab w:pos="4655" w:val="left" w:leader="none"/>
          <w:tab w:pos="6124" w:val="left" w:leader="none"/>
          <w:tab w:pos="7697" w:val="left" w:leader="none"/>
          <w:tab w:pos="8066" w:val="left" w:leader="none"/>
        </w:tabs>
        <w:spacing w:line="254" w:lineRule="auto" w:before="0" w:after="0"/>
        <w:ind w:left="1015" w:right="435" w:hanging="711"/>
        <w:jc w:val="left"/>
        <w:rPr>
          <w:sz w:val="28"/>
        </w:rPr>
      </w:pPr>
      <w:r>
        <w:rPr>
          <w:b/>
          <w:sz w:val="28"/>
        </w:rPr>
        <w:t>Гаевая А.А., Водениктов А.Д., </w:t>
      </w:r>
      <w:r>
        <w:rPr>
          <w:sz w:val="28"/>
        </w:rPr>
        <w:t>КГЭУ. Науч. рук. асс. Минибаев А.И. Разработка</w:t>
        <w:tab/>
        <w:t>устройств</w:t>
        <w:tab/>
        <w:t>для</w:t>
        <w:tab/>
        <w:t>деаэрации</w:t>
        <w:tab/>
        <w:t>конденсата</w:t>
        <w:tab/>
        <w:t>в</w:t>
        <w:tab/>
        <w:t>конденсаторах паровых</w:t>
      </w:r>
      <w:r>
        <w:rPr>
          <w:spacing w:val="-4"/>
          <w:sz w:val="28"/>
        </w:rPr>
        <w:t> </w:t>
      </w:r>
      <w:r>
        <w:rPr>
          <w:sz w:val="28"/>
        </w:rPr>
        <w:t>турбин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49" w:lineRule="auto" w:before="0" w:after="0"/>
        <w:ind w:left="305" w:right="427" w:firstLine="0"/>
        <w:jc w:val="left"/>
        <w:rPr>
          <w:sz w:val="28"/>
        </w:rPr>
      </w:pPr>
      <w:r>
        <w:rPr>
          <w:b/>
          <w:sz w:val="28"/>
        </w:rPr>
        <w:t>Гареева К.А., Иванова У.В., </w:t>
      </w:r>
      <w:r>
        <w:rPr>
          <w:sz w:val="28"/>
        </w:rPr>
        <w:t>КГЭУ. Науч. рук. канд. техн. наук, доц. Власов</w:t>
      </w:r>
      <w:r>
        <w:rPr>
          <w:spacing w:val="-1"/>
          <w:sz w:val="28"/>
        </w:rPr>
        <w:t> </w:t>
      </w:r>
      <w:r>
        <w:rPr>
          <w:sz w:val="28"/>
        </w:rPr>
        <w:t>С.М.</w:t>
      </w:r>
    </w:p>
    <w:p>
      <w:pPr>
        <w:pStyle w:val="BodyText"/>
        <w:spacing w:line="254" w:lineRule="auto"/>
        <w:ind w:left="1015"/>
      </w:pPr>
      <w:r>
        <w:rPr/>
        <w:t>Разработка экспериментальной установки для очистки воды холодного водоснабжения до питьевого качества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  <w:tab w:pos="3018" w:val="left" w:leader="none"/>
          <w:tab w:pos="4149" w:val="left" w:leader="none"/>
          <w:tab w:pos="5154" w:val="left" w:leader="none"/>
          <w:tab w:pos="5970" w:val="left" w:leader="none"/>
          <w:tab w:pos="6982" w:val="left" w:leader="none"/>
          <w:tab w:pos="9148" w:val="left" w:leader="none"/>
        </w:tabs>
        <w:spacing w:line="254" w:lineRule="auto" w:before="0" w:after="0"/>
        <w:ind w:left="305" w:right="434" w:firstLine="0"/>
        <w:jc w:val="left"/>
        <w:rPr>
          <w:sz w:val="28"/>
        </w:rPr>
      </w:pPr>
      <w:r>
        <w:rPr>
          <w:b/>
          <w:sz w:val="28"/>
        </w:rPr>
        <w:t>Гильфанов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Б.А.,</w:t>
        <w:tab/>
      </w:r>
      <w:r>
        <w:rPr>
          <w:sz w:val="28"/>
        </w:rPr>
        <w:t>КГЭУ.</w:t>
        <w:tab/>
        <w:t>Науч.</w:t>
        <w:tab/>
        <w:t>рук.</w:t>
        <w:tab/>
        <w:t>проф.</w:t>
        <w:tab/>
        <w:t>Чичирова</w:t>
      </w:r>
      <w:r>
        <w:rPr>
          <w:spacing w:val="2"/>
          <w:sz w:val="28"/>
        </w:rPr>
        <w:t> </w:t>
      </w:r>
      <w:r>
        <w:rPr>
          <w:sz w:val="28"/>
        </w:rPr>
        <w:t>Н.Д.,</w:t>
        <w:tab/>
      </w:r>
      <w:r>
        <w:rPr>
          <w:spacing w:val="-4"/>
          <w:sz w:val="28"/>
        </w:rPr>
        <w:t>проф. </w:t>
      </w:r>
      <w:r>
        <w:rPr>
          <w:sz w:val="28"/>
        </w:rPr>
        <w:t>Чичиров А.А.</w:t>
      </w:r>
    </w:p>
    <w:p>
      <w:pPr>
        <w:pStyle w:val="BodyText"/>
        <w:spacing w:line="249" w:lineRule="auto"/>
        <w:ind w:left="1015"/>
      </w:pPr>
      <w:r>
        <w:rPr/>
        <w:t>Потенциометрический анализ водных теплоносителей ТЭС и систем теплоснабжения</w:t>
      </w:r>
    </w:p>
    <w:sectPr>
      <w:pgSz w:w="11910" w:h="16840"/>
      <w:pgMar w:top="620" w:bottom="280" w:left="6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5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44" w:hanging="28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68" w:hanging="28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93" w:hanging="28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17" w:hanging="28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42" w:hanging="28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66" w:hanging="28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90" w:hanging="28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15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220" w:right="448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220" w:right="563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305" w:right="432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302" w:lineRule="exact"/>
      <w:ind w:left="200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2020-05-26T10:30:43Z</dcterms:created>
  <dcterms:modified xsi:type="dcterms:W3CDTF">2020-05-26T10:30:43Z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2020-05-26T00:00:00Z</vt:filetime>
  </property>
</Properties>
</file>