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9C66A1" w:rsidRDefault="00E932E0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E932E0">
        <w:rPr>
          <w:sz w:val="24"/>
          <w:szCs w:val="24"/>
        </w:rPr>
        <w:t>«</w:t>
      </w:r>
      <w:r w:rsidR="00AC3CC8" w:rsidRPr="00AC3CC8">
        <w:rPr>
          <w:bCs w:val="0"/>
          <w:sz w:val="24"/>
          <w:szCs w:val="24"/>
        </w:rPr>
        <w:t>Гидробионты очистных сооружений</w:t>
      </w:r>
      <w:r w:rsidRPr="00E932E0">
        <w:rPr>
          <w:sz w:val="24"/>
          <w:szCs w:val="24"/>
        </w:rPr>
        <w:t>»</w:t>
      </w:r>
    </w:p>
    <w:p w:rsidR="00E932E0" w:rsidRPr="00AE7EB2" w:rsidRDefault="00E932E0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«Водные биоресурсы и аквакультура»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C46FBE" w:rsidRPr="00C46FBE" w:rsidRDefault="005B5AA6" w:rsidP="00C46FBE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AC3CC8" w:rsidRPr="00AC3CC8">
        <w:rPr>
          <w:rFonts w:ascii="Times New Roman" w:hAnsi="Times New Roman" w:cs="Times New Roman"/>
          <w:i/>
          <w:color w:val="000000"/>
          <w:sz w:val="24"/>
          <w:szCs w:val="24"/>
        </w:rPr>
        <w:t>Цель дисциплины «Гидробионты очистных сооружений» состоит в ознакомлении студентов с принципами функционирования биологических очистных сооружений; знакомство с видовым разнообразием гидробионтов очистных сооружений и методами оценки очистки по гидробиологическим показателям.</w:t>
      </w:r>
      <w:r w:rsidR="00893A33" w:rsidRPr="00893A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B5AA6" w:rsidRDefault="005B5AA6" w:rsidP="00B43385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3F68B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ых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E2793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3F68B1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Pr="00F6450B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F68B1">
        <w:rPr>
          <w:rFonts w:ascii="Times New Roman" w:eastAsia="Times New Roman" w:hAnsi="Times New Roman" w:cs="Times New Roman"/>
          <w:i/>
          <w:sz w:val="24"/>
          <w:szCs w:val="24"/>
        </w:rPr>
        <w:t>8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781"/>
      </w:tblGrid>
      <w:tr w:rsidR="003F68B1" w:rsidRPr="00E27937" w:rsidTr="003F68B1">
        <w:trPr>
          <w:trHeight w:val="323"/>
        </w:trPr>
        <w:tc>
          <w:tcPr>
            <w:tcW w:w="709" w:type="dxa"/>
          </w:tcPr>
          <w:p w:rsidR="003F68B1" w:rsidRPr="00E27937" w:rsidRDefault="003F68B1" w:rsidP="003F6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E2793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793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27937">
              <w:rPr>
                <w:sz w:val="20"/>
                <w:szCs w:val="20"/>
              </w:rPr>
              <w:t>/</w:t>
            </w:r>
            <w:proofErr w:type="spellStart"/>
            <w:r w:rsidRPr="00E27937">
              <w:rPr>
                <w:sz w:val="20"/>
                <w:szCs w:val="20"/>
              </w:rPr>
              <w:t>п</w:t>
            </w:r>
            <w:proofErr w:type="spellEnd"/>
          </w:p>
          <w:p w:rsidR="003F68B1" w:rsidRPr="00E27937" w:rsidRDefault="003F68B1" w:rsidP="003F6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E27937">
              <w:rPr>
                <w:sz w:val="20"/>
                <w:szCs w:val="20"/>
              </w:rPr>
              <w:t>раздела</w:t>
            </w:r>
          </w:p>
        </w:tc>
        <w:tc>
          <w:tcPr>
            <w:tcW w:w="9781" w:type="dxa"/>
            <w:vAlign w:val="center"/>
          </w:tcPr>
          <w:p w:rsidR="003F68B1" w:rsidRPr="00E27937" w:rsidRDefault="003F68B1" w:rsidP="003F68B1">
            <w:pPr>
              <w:pStyle w:val="a5"/>
              <w:widowControl w:val="0"/>
              <w:autoSpaceDE w:val="0"/>
              <w:autoSpaceDN w:val="0"/>
              <w:ind w:left="0"/>
              <w:contextualSpacing w:val="0"/>
              <w:jc w:val="center"/>
            </w:pPr>
            <w:r w:rsidRPr="00E27937">
              <w:t>Краткое содержание разделов дисциплины</w:t>
            </w:r>
          </w:p>
        </w:tc>
      </w:tr>
      <w:tr w:rsidR="003F68B1" w:rsidRPr="00E27937" w:rsidTr="003F68B1">
        <w:trPr>
          <w:trHeight w:val="321"/>
        </w:trPr>
        <w:tc>
          <w:tcPr>
            <w:tcW w:w="709" w:type="dxa"/>
          </w:tcPr>
          <w:p w:rsidR="003F68B1" w:rsidRPr="00E27937" w:rsidRDefault="003F68B1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E27937">
              <w:rPr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:rsidR="00AC3CC8" w:rsidRPr="00AC3CC8" w:rsidRDefault="00AC3CC8" w:rsidP="00AC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1. Введение. Предмет, методы и задачи гидробиологических исследований очистных сооружений</w:t>
            </w:r>
          </w:p>
          <w:p w:rsidR="00AC3CC8" w:rsidRPr="00AC3CC8" w:rsidRDefault="00AC3CC8" w:rsidP="00AC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1.1. Введение. Предмет, методы и задачи гидробиологических исследований очистных сооружений</w:t>
            </w:r>
          </w:p>
          <w:p w:rsidR="00AC3CC8" w:rsidRPr="00AC3CC8" w:rsidRDefault="00AC3CC8" w:rsidP="00AC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Методы санитарной гидробиологии. Основные задачи. Контроль качества водной среды. Процессы загрязнения водоемов. Проблемы деградации водных экосистем. Экологическое значение санитарной гидробиологии. Водные ресурсы России. Основные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водопотребители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Основные водопользователи. Водоснабжение населения. Водоснабжение промышленности. Водопотребление объектов энергетики. Водопотребление сельским хозяйством.</w:t>
            </w:r>
          </w:p>
          <w:p w:rsidR="00AC3CC8" w:rsidRPr="00AC3CC8" w:rsidRDefault="00AC3CC8" w:rsidP="00AC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1.2. Качество воды и проблемы «чистой воды»</w:t>
            </w:r>
          </w:p>
          <w:p w:rsidR="003F68B1" w:rsidRPr="00E27937" w:rsidRDefault="00AC3CC8" w:rsidP="00AC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Особенности изменений качества вод под воздействием промышленности. Особенности изменений качества вод под воздействием сельского хозяйства. Урбанизация территории. Хозяйственно- бытовые сточные воды. Влияние сточных вод и других загрязнений на водоемы.  Биологическое загрязнение водоемов. Балластные воды судов.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Минераллизованные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сточные воды. Воздействие на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биоту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органических сточных вод. Изменение видового разнообразия, численности и биомассы гидробионтов. Загрязнения, влияющие на режим водоемов. Прямое и косвенное воздействие сточных вод.</w:t>
            </w:r>
          </w:p>
        </w:tc>
      </w:tr>
      <w:tr w:rsidR="003F68B1" w:rsidRPr="00E27937" w:rsidTr="003F68B1">
        <w:trPr>
          <w:trHeight w:val="321"/>
        </w:trPr>
        <w:tc>
          <w:tcPr>
            <w:tcW w:w="709" w:type="dxa"/>
          </w:tcPr>
          <w:p w:rsidR="003F68B1" w:rsidRPr="00E27937" w:rsidRDefault="003F68B1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E27937">
              <w:rPr>
                <w:sz w:val="20"/>
                <w:szCs w:val="20"/>
              </w:rPr>
              <w:t>2</w:t>
            </w:r>
          </w:p>
        </w:tc>
        <w:tc>
          <w:tcPr>
            <w:tcW w:w="9781" w:type="dxa"/>
          </w:tcPr>
          <w:p w:rsidR="00AC3CC8" w:rsidRPr="00AC3CC8" w:rsidRDefault="00AC3CC8" w:rsidP="00AC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2. Изменения водных ресурсов под влиянием хозяйственной деятельности</w:t>
            </w:r>
          </w:p>
          <w:p w:rsidR="00AC3CC8" w:rsidRPr="00AC3CC8" w:rsidRDefault="00AC3CC8" w:rsidP="00AC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2.1. Гидробиоценоз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эвтрофированных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водоемов</w:t>
            </w:r>
          </w:p>
          <w:p w:rsidR="00AC3CC8" w:rsidRPr="00AC3CC8" w:rsidRDefault="00AC3CC8" w:rsidP="00AC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трофии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водоемов: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олиготрофные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мезотрофные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эвтрофные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гиперэвтрофные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водные экосистемы. Скорость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эвтрофирования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«Цветение» водоемов. Продукция и деструкция органического вещества. Биогенные элементы. Биологические, химические и физические показатели оценки степени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эвтрофикации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Проблемы теплового загрязнения водоемов. Особенности термического загрязнения озер, водохранилищ, рек. Последствия теплового загрязнения вод. Проблема изменения видового состава гидробионтов. Фауна и флора водоемов-охладителей. «Цветение» воды как результат термического загрязнения. Методы предсказания и предупреждения развития сине-зеленых водорослей.</w:t>
            </w:r>
          </w:p>
          <w:p w:rsidR="00AC3CC8" w:rsidRPr="00AC3CC8" w:rsidRDefault="00AC3CC8" w:rsidP="00AC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2.2. Биологический анализ качества вод</w:t>
            </w: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AC3CC8" w:rsidRPr="00AC3CC8" w:rsidRDefault="00AC3CC8" w:rsidP="00AC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Санитарно-микробиологический контроль  качества вод. Учение о санитарно-показательных микроорганизмах. Общее количество бактерий. Сапрофитные бактерии. Бактерии группы кишечной палочки. </w:t>
            </w:r>
            <w:proofErr w:type="spellStart"/>
            <w:proofErr w:type="gram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Коли-индекс</w:t>
            </w:r>
            <w:proofErr w:type="spellEnd"/>
            <w:proofErr w:type="gram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Соотношение групп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бактериопланктона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Санитарно-микробиологические исследования в практике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рыбохозяйственной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деятельности Оценка качества вод по количественному развитию коловраток, ветвистоусых ракообразных и циклопов; по соотношению численности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науплиальных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копеподитных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стадий рачков.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Сапробность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вод. Система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Кольквитца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Марссона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Метод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Пантле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Букка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Метод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Зелинки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Марвана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Оценка загрязнения по видовому разнообразию.  </w:t>
            </w:r>
          </w:p>
          <w:p w:rsidR="00AC3CC8" w:rsidRPr="00AC3CC8" w:rsidRDefault="00AC3CC8" w:rsidP="00AC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2.3. Самоочищение водоемов</w:t>
            </w: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3F68B1" w:rsidRPr="00E27937" w:rsidRDefault="00AC3CC8" w:rsidP="00E27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Роль гидробионтов в процессе биологического самоочищения вод: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бактериопланктона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фито- и зоопланктона, двустворчатых моллюсков, ракообразных, рыб-фитофагов и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детритофагов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Движение загрязняющих веществ по пищевым цепям.</w:t>
            </w:r>
          </w:p>
        </w:tc>
      </w:tr>
      <w:tr w:rsidR="003F68B1" w:rsidRPr="00E27937" w:rsidTr="003F68B1">
        <w:trPr>
          <w:trHeight w:val="321"/>
        </w:trPr>
        <w:tc>
          <w:tcPr>
            <w:tcW w:w="709" w:type="dxa"/>
          </w:tcPr>
          <w:p w:rsidR="003F68B1" w:rsidRPr="00E27937" w:rsidRDefault="003F68B1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E27937">
              <w:rPr>
                <w:sz w:val="20"/>
                <w:szCs w:val="20"/>
              </w:rPr>
              <w:t>3</w:t>
            </w:r>
          </w:p>
        </w:tc>
        <w:tc>
          <w:tcPr>
            <w:tcW w:w="9781" w:type="dxa"/>
          </w:tcPr>
          <w:p w:rsidR="00AC3CC8" w:rsidRPr="00AC3CC8" w:rsidRDefault="00AC3CC8" w:rsidP="00AC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3. Биологическая очистка сточных вод</w:t>
            </w:r>
          </w:p>
          <w:p w:rsidR="00AC3CC8" w:rsidRPr="00AC3CC8" w:rsidRDefault="00AC3CC8" w:rsidP="00AC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3.1. Очистка сточных вод. </w:t>
            </w:r>
          </w:p>
          <w:p w:rsidR="00AC3CC8" w:rsidRPr="00AC3CC8" w:rsidRDefault="00AC3CC8" w:rsidP="00AC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биологической очистки</w:t>
            </w: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Методы почвенной очистки сточных вод. Поля фильтрации. Поля орошения. Биохимические методы очистки сточных вод. Активный ил.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Биопленка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Биофильтры и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аэротенки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Биотехнология защиты окружающей среды от загрязнений.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Биологическаядетоксикация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нефти. Роль миксомицетов и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макрофитов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процессах самоочищении водоемов от нефтепродуктов. Роль микроорганизмов в обезвреживании солей тяжелых металлов и пестицидов в водоеме</w:t>
            </w:r>
            <w:proofErr w:type="gram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Биологические очистные пруды и возможности их использования в рыбоводстве. Биотехнологии защиты окружающей среды от загрязнений. Комбинированные технологии рыбоводства. Рыбоводно-биологические пруды. Пруд-накопитель стоков. Водорослевый пруд. Рачковый пруд. Рыбоводный пруд. Минерализация органического вещества.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Биоседиментация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осветление воды.</w:t>
            </w:r>
          </w:p>
          <w:p w:rsidR="00AC3CC8" w:rsidRPr="00AC3CC8" w:rsidRDefault="00AC3CC8" w:rsidP="00AC3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3.2. Гидробиоценоз биологических очистных сооружений</w:t>
            </w:r>
          </w:p>
          <w:p w:rsidR="003F68B1" w:rsidRPr="00E27937" w:rsidRDefault="00AC3CC8" w:rsidP="003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Гидробиоциноз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биофильтров. Гидробиоценоз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аэротенков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Определение видового состава биоценоза </w:t>
            </w:r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активного ила. Характеристика видового состава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биопленки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биофильтров. Определение </w:t>
            </w:r>
            <w:proofErr w:type="spellStart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сапробности</w:t>
            </w:r>
            <w:proofErr w:type="spellEnd"/>
            <w:r w:rsidRPr="00AC3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морфофизиологическим показателям гидробионтов.</w:t>
            </w:r>
          </w:p>
        </w:tc>
      </w:tr>
    </w:tbl>
    <w:p w:rsidR="00AE7EB2" w:rsidRPr="00F6450B" w:rsidRDefault="00AE7EB2" w:rsidP="00F6450B">
      <w:pPr>
        <w:pStyle w:val="TableParagraph"/>
        <w:ind w:right="142"/>
        <w:jc w:val="both"/>
        <w:rPr>
          <w:sz w:val="20"/>
          <w:szCs w:val="20"/>
        </w:rPr>
      </w:pPr>
    </w:p>
    <w:p w:rsidR="00C32AF1" w:rsidRPr="00F6450B" w:rsidRDefault="005B5AA6" w:rsidP="00F6450B">
      <w:pPr>
        <w:pStyle w:val="TableParagraph"/>
        <w:ind w:right="142"/>
        <w:jc w:val="both"/>
        <w:rPr>
          <w:sz w:val="20"/>
          <w:szCs w:val="20"/>
        </w:rPr>
      </w:pPr>
      <w:r w:rsidRPr="00F6450B">
        <w:rPr>
          <w:sz w:val="20"/>
          <w:szCs w:val="20"/>
        </w:rPr>
        <w:t>Форма промежуточной аттестации:</w:t>
      </w:r>
      <w:r w:rsidR="00D70C57">
        <w:rPr>
          <w:sz w:val="20"/>
          <w:szCs w:val="20"/>
        </w:rPr>
        <w:t xml:space="preserve"> экзамен</w:t>
      </w:r>
      <w:r w:rsidR="003F68B1">
        <w:rPr>
          <w:sz w:val="20"/>
          <w:szCs w:val="20"/>
        </w:rPr>
        <w:t>, курсовая работа</w:t>
      </w:r>
    </w:p>
    <w:sectPr w:rsidR="00C32AF1" w:rsidRPr="00F6450B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04036"/>
    <w:rsid w:val="000B41B5"/>
    <w:rsid w:val="001569E8"/>
    <w:rsid w:val="001E0AB6"/>
    <w:rsid w:val="001E13A8"/>
    <w:rsid w:val="00203D56"/>
    <w:rsid w:val="002070E8"/>
    <w:rsid w:val="00224A56"/>
    <w:rsid w:val="00296058"/>
    <w:rsid w:val="002A7393"/>
    <w:rsid w:val="00335112"/>
    <w:rsid w:val="003456A9"/>
    <w:rsid w:val="003473A1"/>
    <w:rsid w:val="00350B85"/>
    <w:rsid w:val="003F68B1"/>
    <w:rsid w:val="004A0BCC"/>
    <w:rsid w:val="004B7B41"/>
    <w:rsid w:val="005232DF"/>
    <w:rsid w:val="005B5AA6"/>
    <w:rsid w:val="005D07ED"/>
    <w:rsid w:val="005E0297"/>
    <w:rsid w:val="0061237C"/>
    <w:rsid w:val="006D2329"/>
    <w:rsid w:val="006E4753"/>
    <w:rsid w:val="00743AF2"/>
    <w:rsid w:val="007463E4"/>
    <w:rsid w:val="00767C67"/>
    <w:rsid w:val="007A26E3"/>
    <w:rsid w:val="007D501A"/>
    <w:rsid w:val="008055B1"/>
    <w:rsid w:val="0086340E"/>
    <w:rsid w:val="00893A33"/>
    <w:rsid w:val="008A238A"/>
    <w:rsid w:val="00903112"/>
    <w:rsid w:val="0095545A"/>
    <w:rsid w:val="009C66A1"/>
    <w:rsid w:val="009D2313"/>
    <w:rsid w:val="00A96400"/>
    <w:rsid w:val="00AB441F"/>
    <w:rsid w:val="00AC3CC8"/>
    <w:rsid w:val="00AE7EB2"/>
    <w:rsid w:val="00AF1F55"/>
    <w:rsid w:val="00B2609E"/>
    <w:rsid w:val="00B43385"/>
    <w:rsid w:val="00C10A20"/>
    <w:rsid w:val="00C32AF1"/>
    <w:rsid w:val="00C46FBE"/>
    <w:rsid w:val="00CA0F1C"/>
    <w:rsid w:val="00D70C57"/>
    <w:rsid w:val="00D974C1"/>
    <w:rsid w:val="00DA3A61"/>
    <w:rsid w:val="00DA5890"/>
    <w:rsid w:val="00E01609"/>
    <w:rsid w:val="00E27937"/>
    <w:rsid w:val="00E85D76"/>
    <w:rsid w:val="00E932E0"/>
    <w:rsid w:val="00F07B58"/>
    <w:rsid w:val="00F07ECE"/>
    <w:rsid w:val="00F6358A"/>
    <w:rsid w:val="00F6450B"/>
    <w:rsid w:val="00F81FFE"/>
    <w:rsid w:val="00FD0E01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paragraph" w:styleId="3">
    <w:name w:val="heading 3"/>
    <w:basedOn w:val="a"/>
    <w:next w:val="a"/>
    <w:link w:val="30"/>
    <w:uiPriority w:val="9"/>
    <w:unhideWhenUsed/>
    <w:qFormat/>
    <w:rsid w:val="00350B85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F81FFE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a7">
    <w:name w:val="Основной"/>
    <w:link w:val="a8"/>
    <w:rsid w:val="00224A56"/>
    <w:pPr>
      <w:tabs>
        <w:tab w:val="left" w:pos="708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9">
    <w:name w:val="Таблица по ширине"/>
    <w:basedOn w:val="a"/>
    <w:rsid w:val="00224A56"/>
    <w:pPr>
      <w:keepNext/>
      <w:keepLines/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uiPriority w:val="99"/>
    <w:qFormat/>
    <w:rsid w:val="006E4753"/>
    <w:pPr>
      <w:spacing w:after="0" w:line="30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6E475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c">
    <w:name w:val="No Spacing"/>
    <w:uiPriority w:val="1"/>
    <w:qFormat/>
    <w:rsid w:val="00903112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Текст1"/>
    <w:basedOn w:val="a"/>
    <w:rsid w:val="001569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uiPriority w:val="99"/>
    <w:unhideWhenUsed/>
    <w:rsid w:val="002A7393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uiPriority w:val="99"/>
    <w:rsid w:val="002A7393"/>
    <w:rPr>
      <w:rFonts w:eastAsiaTheme="minorHAnsi"/>
      <w:lang w:eastAsia="en-US"/>
    </w:rPr>
  </w:style>
  <w:style w:type="character" w:customStyle="1" w:styleId="a8">
    <w:name w:val="Основной Знак"/>
    <w:link w:val="a7"/>
    <w:rsid w:val="002A739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932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932E0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0B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2">
    <w:name w:val="Текст2"/>
    <w:basedOn w:val="a"/>
    <w:rsid w:val="00350B85"/>
    <w:pPr>
      <w:widowControl w:val="0"/>
      <w:suppressAutoHyphens/>
      <w:spacing w:after="0" w:line="240" w:lineRule="auto"/>
    </w:pPr>
    <w:rPr>
      <w:rFonts w:ascii="Courier New" w:eastAsia="Droid Sans" w:hAnsi="Courier New" w:cs="Courier New"/>
      <w:kern w:val="1"/>
      <w:sz w:val="20"/>
      <w:szCs w:val="20"/>
      <w:lang w:eastAsia="zh-CN" w:bidi="hi-IN"/>
    </w:rPr>
  </w:style>
  <w:style w:type="character" w:customStyle="1" w:styleId="80">
    <w:name w:val="Заголовок 8 Знак"/>
    <w:basedOn w:val="a0"/>
    <w:link w:val="8"/>
    <w:rsid w:val="00F81F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2</cp:revision>
  <dcterms:created xsi:type="dcterms:W3CDTF">2023-06-07T19:40:00Z</dcterms:created>
  <dcterms:modified xsi:type="dcterms:W3CDTF">2023-06-07T19:40:00Z</dcterms:modified>
</cp:coreProperties>
</file>