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9C66A1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E932E0">
        <w:rPr>
          <w:sz w:val="24"/>
          <w:szCs w:val="24"/>
        </w:rPr>
        <w:t>«</w:t>
      </w:r>
      <w:proofErr w:type="spellStart"/>
      <w:r w:rsidR="00F81FFE" w:rsidRPr="00F81FFE">
        <w:rPr>
          <w:bCs w:val="0"/>
          <w:sz w:val="24"/>
          <w:szCs w:val="24"/>
          <w:lang w:val="en-US"/>
        </w:rPr>
        <w:t>Санитарная</w:t>
      </w:r>
      <w:proofErr w:type="spellEnd"/>
      <w:r w:rsidR="00F81FFE" w:rsidRPr="00F81FFE">
        <w:rPr>
          <w:bCs w:val="0"/>
          <w:sz w:val="24"/>
          <w:szCs w:val="24"/>
          <w:lang w:val="en-US"/>
        </w:rPr>
        <w:t xml:space="preserve"> </w:t>
      </w:r>
      <w:proofErr w:type="spellStart"/>
      <w:r w:rsidR="00F81FFE" w:rsidRPr="00F81FFE">
        <w:rPr>
          <w:bCs w:val="0"/>
          <w:sz w:val="24"/>
          <w:szCs w:val="24"/>
          <w:lang w:val="en-US"/>
        </w:rPr>
        <w:t>гидробиология</w:t>
      </w:r>
      <w:proofErr w:type="spellEnd"/>
      <w:r w:rsidRPr="00E932E0">
        <w:rPr>
          <w:sz w:val="24"/>
          <w:szCs w:val="24"/>
        </w:rPr>
        <w:t>»</w:t>
      </w:r>
    </w:p>
    <w:p w:rsidR="00E932E0" w:rsidRPr="00AE7EB2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C46FBE" w:rsidRPr="00C46FBE" w:rsidRDefault="005B5AA6" w:rsidP="00C46FBE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E27937" w:rsidRPr="00E279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дисциплины «Санитарная гидробиология» состоит в ознакомлении студентов с основными понятиями санитарной гидробиологии; знакомство с методами санитарно-микробиологических исследований в практике </w:t>
      </w:r>
      <w:proofErr w:type="spellStart"/>
      <w:r w:rsidR="00E27937" w:rsidRPr="00E27937">
        <w:rPr>
          <w:rFonts w:ascii="Times New Roman" w:hAnsi="Times New Roman" w:cs="Times New Roman"/>
          <w:i/>
          <w:color w:val="000000"/>
          <w:sz w:val="24"/>
          <w:szCs w:val="24"/>
        </w:rPr>
        <w:t>рыбохозяйственной</w:t>
      </w:r>
      <w:proofErr w:type="spellEnd"/>
      <w:r w:rsidR="00E27937" w:rsidRPr="00E279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деятельности; источниками загрязнения водных экосистем и основными методами их предупреждения; знакомство с учением о санитарно- показательных микроорганизмах и гидробионтов индикаторов качества вод.</w:t>
      </w:r>
      <w:r w:rsidR="00893A33" w:rsidRPr="00893A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E2793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E27937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27937">
        <w:rPr>
          <w:rFonts w:ascii="Times New Roman" w:eastAsia="Times New Roman" w:hAnsi="Times New Roman" w:cs="Times New Roman"/>
          <w:i/>
          <w:sz w:val="24"/>
          <w:szCs w:val="24"/>
        </w:rPr>
        <w:t>7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985"/>
        <w:gridCol w:w="7938"/>
      </w:tblGrid>
      <w:tr w:rsidR="005B5AA6" w:rsidRPr="00E27937" w:rsidTr="00E27937">
        <w:trPr>
          <w:trHeight w:val="323"/>
        </w:trPr>
        <w:tc>
          <w:tcPr>
            <w:tcW w:w="709" w:type="dxa"/>
          </w:tcPr>
          <w:p w:rsidR="005B5AA6" w:rsidRPr="00E27937" w:rsidRDefault="005B5AA6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79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7937">
              <w:rPr>
                <w:sz w:val="20"/>
                <w:szCs w:val="20"/>
              </w:rPr>
              <w:t>/</w:t>
            </w:r>
            <w:proofErr w:type="spellStart"/>
            <w:r w:rsidRPr="00E27937">
              <w:rPr>
                <w:sz w:val="20"/>
                <w:szCs w:val="20"/>
              </w:rPr>
              <w:t>п</w:t>
            </w:r>
            <w:proofErr w:type="spellEnd"/>
          </w:p>
          <w:p w:rsidR="005B5AA6" w:rsidRPr="00E27937" w:rsidRDefault="005B5AA6" w:rsidP="00E27937">
            <w:pPr>
              <w:pStyle w:val="TableParagraph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раздела</w:t>
            </w:r>
          </w:p>
        </w:tc>
        <w:tc>
          <w:tcPr>
            <w:tcW w:w="1985" w:type="dxa"/>
            <w:vAlign w:val="center"/>
          </w:tcPr>
          <w:p w:rsidR="005B5AA6" w:rsidRPr="00E27937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E27937">
              <w:t xml:space="preserve">Основные разделы </w:t>
            </w:r>
          </w:p>
          <w:p w:rsidR="005B5AA6" w:rsidRPr="00E27937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E27937">
              <w:t>дисциплины</w:t>
            </w:r>
          </w:p>
        </w:tc>
        <w:tc>
          <w:tcPr>
            <w:tcW w:w="7938" w:type="dxa"/>
            <w:vAlign w:val="center"/>
          </w:tcPr>
          <w:p w:rsidR="005B5AA6" w:rsidRPr="00E27937" w:rsidRDefault="005B5AA6" w:rsidP="00E27937">
            <w:pPr>
              <w:pStyle w:val="a5"/>
              <w:widowControl w:val="0"/>
              <w:autoSpaceDE w:val="0"/>
              <w:autoSpaceDN w:val="0"/>
              <w:ind w:left="0"/>
              <w:contextualSpacing w:val="0"/>
              <w:jc w:val="both"/>
            </w:pPr>
            <w:r w:rsidRPr="00E27937">
              <w:t>Краткое содержание разделов дисциплины</w:t>
            </w:r>
          </w:p>
        </w:tc>
      </w:tr>
      <w:tr w:rsidR="00C10A20" w:rsidRPr="00E27937" w:rsidTr="00E27937">
        <w:trPr>
          <w:trHeight w:val="321"/>
        </w:trPr>
        <w:tc>
          <w:tcPr>
            <w:tcW w:w="709" w:type="dxa"/>
          </w:tcPr>
          <w:p w:rsidR="00C10A20" w:rsidRPr="00E27937" w:rsidRDefault="00C10A2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C10A20" w:rsidRPr="00E27937" w:rsidRDefault="00E27937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Введение. Предмет, методы и задачи санитарной гидробиологии</w:t>
            </w:r>
          </w:p>
        </w:tc>
        <w:tc>
          <w:tcPr>
            <w:tcW w:w="7938" w:type="dxa"/>
          </w:tcPr>
          <w:p w:rsidR="00C10A20" w:rsidRPr="00E27937" w:rsidRDefault="00F81FFE" w:rsidP="00E2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Методы санитарной гидробиологии. Основные задачи. Контроль качества водной среды. Процессы загрязнения водоемов. Проблемы деградации водных экосистем. Экологическое значение санитарной гидробиологии. Водные ресурсы России. Основные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водопотребители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. Основные водопользователи. Водоснабжение населения. Водоснабжение промышленности. Водопотребление объектов энергетики. Водопотребление сельским хозяйством. </w:t>
            </w:r>
          </w:p>
        </w:tc>
      </w:tr>
      <w:tr w:rsidR="00C10A20" w:rsidRPr="00E27937" w:rsidTr="00E27937">
        <w:trPr>
          <w:trHeight w:val="321"/>
        </w:trPr>
        <w:tc>
          <w:tcPr>
            <w:tcW w:w="709" w:type="dxa"/>
          </w:tcPr>
          <w:p w:rsidR="00C10A20" w:rsidRPr="00E27937" w:rsidRDefault="00C10A2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C10A20" w:rsidRPr="00E27937" w:rsidRDefault="00E27937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воды и проблемы «чистой воды»</w:t>
            </w:r>
          </w:p>
        </w:tc>
        <w:tc>
          <w:tcPr>
            <w:tcW w:w="7938" w:type="dxa"/>
          </w:tcPr>
          <w:p w:rsidR="00C10A20" w:rsidRPr="00E27937" w:rsidRDefault="00E27937" w:rsidP="00E2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изменений качества вод под воздействием промышленности. Особенности изменений качества вод под воздействием сельского хозяйства. Урбанизация территории. Хозяйственно- бытовые сточные воды. Влияние сточных вод и других загрязнений на водоемы.  Биологическое загрязнение водоемов. Балластные воды судов.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Минераллизованные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 сточные воды. Воздействие на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биоту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 органических сточных вод. Изменение видового разнообразия, численности и биомассы гидробионтов. Загрязнения, влияющие на режим водоемов. Прямое и косвенное воздействие сточных вод. </w:t>
            </w:r>
          </w:p>
        </w:tc>
      </w:tr>
      <w:tr w:rsidR="00E27937" w:rsidRPr="00E27937" w:rsidTr="00E27937">
        <w:trPr>
          <w:trHeight w:val="321"/>
        </w:trPr>
        <w:tc>
          <w:tcPr>
            <w:tcW w:w="709" w:type="dxa"/>
          </w:tcPr>
          <w:p w:rsidR="00E27937" w:rsidRPr="00E27937" w:rsidRDefault="00E27937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E27937" w:rsidRPr="00E27937" w:rsidRDefault="00E27937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Гидробиоценоз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эвтрофированных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водоемов</w:t>
            </w:r>
          </w:p>
        </w:tc>
        <w:tc>
          <w:tcPr>
            <w:tcW w:w="7938" w:type="dxa"/>
          </w:tcPr>
          <w:p w:rsidR="00E27937" w:rsidRPr="00E27937" w:rsidRDefault="00E27937" w:rsidP="00E2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трофии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 водоемов: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олиготрофные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мезотрофные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эвтрофные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гиперэвтрофные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 водные экосистемы. Скорость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эвтрофирования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. «Цветение» водоемов. Продукция и деструкция органического вещества. Биогенные элементы. Биологические, химические и физические показатели оценки степени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эвтрофикации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. Проблемы теплового загрязнения водоемов. Особенности термического загрязнения озер, водохранилищ, рек. Последствия теплового загрязнения вод. Проблема изменения видового состава гидробионтов. Фауна и флора водоемов-охладителей. «Цветение» воды как результат термического загрязнения. Методы предсказания и предупреждения развития сине-зеленых водорослей. </w:t>
            </w:r>
          </w:p>
        </w:tc>
      </w:tr>
      <w:tr w:rsidR="00E27937" w:rsidRPr="00E27937" w:rsidTr="00E27937">
        <w:trPr>
          <w:trHeight w:val="321"/>
        </w:trPr>
        <w:tc>
          <w:tcPr>
            <w:tcW w:w="709" w:type="dxa"/>
          </w:tcPr>
          <w:p w:rsidR="00E27937" w:rsidRPr="00E27937" w:rsidRDefault="00E27937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E27937" w:rsidRPr="00E27937" w:rsidRDefault="00E27937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Биологический анализ качества вод</w:t>
            </w:r>
          </w:p>
        </w:tc>
        <w:tc>
          <w:tcPr>
            <w:tcW w:w="7938" w:type="dxa"/>
          </w:tcPr>
          <w:p w:rsidR="00E27937" w:rsidRPr="00E27937" w:rsidRDefault="00E27937" w:rsidP="00E2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Санитарно-микробиологический контроль  качества вод. </w:t>
            </w:r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Учение о санитарно-показательных микроорганизмах. Общее количество бактерий. Сапрофитные бактерии. Бактерии группы кишечной палочки. </w:t>
            </w:r>
            <w:proofErr w:type="spellStart"/>
            <w:proofErr w:type="gram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Коли-индекс</w:t>
            </w:r>
            <w:proofErr w:type="spellEnd"/>
            <w:proofErr w:type="gram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Соотношение групп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бактериопланктона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Санитарно-микробиологические исследования в практике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рыбохозяйственной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Оценка качества вод по количественному развитию коловраток, ветвистоусых ракообразных и циклопов; по соотношению численности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науплиальных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копеподитных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стадий рачков.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Сапробность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вод. Система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Кольквитца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Марссона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Метод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Пантле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Букка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Метод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Зелинки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Марвана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Оценка загрязнения по видовому разнообразию.  </w:t>
            </w:r>
          </w:p>
        </w:tc>
      </w:tr>
      <w:tr w:rsidR="00E27937" w:rsidRPr="00E27937" w:rsidTr="00E27937">
        <w:trPr>
          <w:trHeight w:val="321"/>
        </w:trPr>
        <w:tc>
          <w:tcPr>
            <w:tcW w:w="709" w:type="dxa"/>
          </w:tcPr>
          <w:p w:rsidR="00E27937" w:rsidRPr="00E27937" w:rsidRDefault="00E27937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E27937" w:rsidRPr="00E27937" w:rsidRDefault="00E27937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Самоочищение водоемов</w:t>
            </w:r>
          </w:p>
        </w:tc>
        <w:tc>
          <w:tcPr>
            <w:tcW w:w="7938" w:type="dxa"/>
          </w:tcPr>
          <w:p w:rsidR="00E27937" w:rsidRPr="00E27937" w:rsidRDefault="00E27937" w:rsidP="00E2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Роль гидробионтов в процессе биологического самоочищения вод: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бактериопланктона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, фито- и зоопланктона, двустворчатых моллюсков, ракообразных, рыб-фитофагов и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детритофагов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. Движение загрязняющих веществ по пищевым цепям.</w:t>
            </w:r>
          </w:p>
        </w:tc>
      </w:tr>
      <w:tr w:rsidR="00E27937" w:rsidRPr="00E27937" w:rsidTr="00E27937">
        <w:trPr>
          <w:trHeight w:val="321"/>
        </w:trPr>
        <w:tc>
          <w:tcPr>
            <w:tcW w:w="709" w:type="dxa"/>
          </w:tcPr>
          <w:p w:rsidR="00E27937" w:rsidRPr="00E27937" w:rsidRDefault="00E27937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E27937" w:rsidRPr="00E27937" w:rsidRDefault="00E27937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сточных вод. Методы биологической очистки</w:t>
            </w:r>
          </w:p>
        </w:tc>
        <w:tc>
          <w:tcPr>
            <w:tcW w:w="7938" w:type="dxa"/>
          </w:tcPr>
          <w:p w:rsidR="00E27937" w:rsidRPr="00E27937" w:rsidRDefault="00E27937" w:rsidP="00E2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Методы почвенной очистки сточных вод. Поля фильтрации. Поля орошения. Биохимические методы очистки сточных вод. Активный ил.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Биопленка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. Биофильтры и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аэротенки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. Биотехнология защиты окружающей среды от загрязнений.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Биологическаядетоксикация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 нефти. Роль миксомицетов и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макрофитов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процессах самоочищении водоемов от нефтепродуктов. Роль микроорганизмов в обезвреживании солей тяжелых металлов и пестицидов в водоеме</w:t>
            </w:r>
            <w:proofErr w:type="gram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Биологические очистные пруды и возможности их использования в рыбоводстве. Биотехнологии защиты окружающей среды от загрязнений. Комбинированные технологии рыбоводства. Рыбоводно-биологические пруды. Пруд-накопитель стоков. Водорослевый пруд. Рачковый пруд. Рыбоводный пруд. Минерализация органического вещества. </w:t>
            </w:r>
            <w:proofErr w:type="spellStart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>Биоседиментация</w:t>
            </w:r>
            <w:proofErr w:type="spellEnd"/>
            <w:r w:rsidRPr="00E27937">
              <w:rPr>
                <w:rFonts w:ascii="Times New Roman" w:hAnsi="Times New Roman" w:cs="Times New Roman"/>
                <w:sz w:val="20"/>
                <w:szCs w:val="20"/>
              </w:rPr>
              <w:t xml:space="preserve"> и осветление воды. </w:t>
            </w:r>
          </w:p>
        </w:tc>
      </w:tr>
      <w:tr w:rsidR="00E27937" w:rsidRPr="00E27937" w:rsidTr="00E27937">
        <w:trPr>
          <w:trHeight w:val="321"/>
        </w:trPr>
        <w:tc>
          <w:tcPr>
            <w:tcW w:w="709" w:type="dxa"/>
          </w:tcPr>
          <w:p w:rsidR="00E27937" w:rsidRPr="00E27937" w:rsidRDefault="00E27937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E27937" w:rsidRPr="00E27937" w:rsidRDefault="00E27937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Гидробиоценоз</w:t>
            </w:r>
            <w:proofErr w:type="spellEnd"/>
            <w:r w:rsidRPr="00E2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биологических очистных сооружений</w:t>
            </w:r>
          </w:p>
        </w:tc>
        <w:tc>
          <w:tcPr>
            <w:tcW w:w="7938" w:type="dxa"/>
          </w:tcPr>
          <w:p w:rsidR="00E27937" w:rsidRPr="00E27937" w:rsidRDefault="00E27937" w:rsidP="00E2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>Гидробиоциноз</w:t>
            </w:r>
            <w:proofErr w:type="spellEnd"/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биофильтров</w:t>
            </w:r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>Гидробиоценоз</w:t>
            </w:r>
            <w:proofErr w:type="spellEnd"/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>аэротенков</w:t>
            </w:r>
            <w:proofErr w:type="spellEnd"/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видового состава биоценоза активного ила</w:t>
            </w:r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 видового состава </w:t>
            </w:r>
            <w:proofErr w:type="spellStart"/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>биопленки</w:t>
            </w:r>
            <w:proofErr w:type="spellEnd"/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биофильтров</w:t>
            </w:r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>сапробности</w:t>
            </w:r>
            <w:proofErr w:type="spellEnd"/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морфофизиологическим показателям гидробионтов</w:t>
            </w:r>
            <w:r w:rsidRPr="00E2793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D70C57">
        <w:rPr>
          <w:sz w:val="20"/>
          <w:szCs w:val="20"/>
        </w:rPr>
        <w:t xml:space="preserve"> экзамен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04036"/>
    <w:rsid w:val="000B41B5"/>
    <w:rsid w:val="001569E8"/>
    <w:rsid w:val="001E0AB6"/>
    <w:rsid w:val="001E13A8"/>
    <w:rsid w:val="00203D56"/>
    <w:rsid w:val="002070E8"/>
    <w:rsid w:val="00224A56"/>
    <w:rsid w:val="00296058"/>
    <w:rsid w:val="002A7393"/>
    <w:rsid w:val="00335112"/>
    <w:rsid w:val="003456A9"/>
    <w:rsid w:val="003473A1"/>
    <w:rsid w:val="00350B85"/>
    <w:rsid w:val="004A0BCC"/>
    <w:rsid w:val="004B7B41"/>
    <w:rsid w:val="005232DF"/>
    <w:rsid w:val="005B5AA6"/>
    <w:rsid w:val="005D07ED"/>
    <w:rsid w:val="005E0297"/>
    <w:rsid w:val="0061237C"/>
    <w:rsid w:val="006D2329"/>
    <w:rsid w:val="006E4753"/>
    <w:rsid w:val="00743AF2"/>
    <w:rsid w:val="007463E4"/>
    <w:rsid w:val="007A26E3"/>
    <w:rsid w:val="007D501A"/>
    <w:rsid w:val="008055B1"/>
    <w:rsid w:val="0086340E"/>
    <w:rsid w:val="00893A33"/>
    <w:rsid w:val="008A238A"/>
    <w:rsid w:val="00903112"/>
    <w:rsid w:val="0095545A"/>
    <w:rsid w:val="009C66A1"/>
    <w:rsid w:val="009D2313"/>
    <w:rsid w:val="00AB441F"/>
    <w:rsid w:val="00AE7EB2"/>
    <w:rsid w:val="00AF1F55"/>
    <w:rsid w:val="00B2609E"/>
    <w:rsid w:val="00B43385"/>
    <w:rsid w:val="00C10A20"/>
    <w:rsid w:val="00C32AF1"/>
    <w:rsid w:val="00C46FBE"/>
    <w:rsid w:val="00CA0F1C"/>
    <w:rsid w:val="00D70C57"/>
    <w:rsid w:val="00D974C1"/>
    <w:rsid w:val="00DA3A61"/>
    <w:rsid w:val="00DA5890"/>
    <w:rsid w:val="00E01609"/>
    <w:rsid w:val="00E27937"/>
    <w:rsid w:val="00E85D76"/>
    <w:rsid w:val="00E932E0"/>
    <w:rsid w:val="00F07B58"/>
    <w:rsid w:val="00F07ECE"/>
    <w:rsid w:val="00F6358A"/>
    <w:rsid w:val="00F6450B"/>
    <w:rsid w:val="00F81FFE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paragraph" w:styleId="3">
    <w:name w:val="heading 3"/>
    <w:basedOn w:val="a"/>
    <w:next w:val="a"/>
    <w:link w:val="30"/>
    <w:uiPriority w:val="9"/>
    <w:unhideWhenUsed/>
    <w:qFormat/>
    <w:rsid w:val="00350B8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81FFE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link w:val="a8"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c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unhideWhenUsed/>
    <w:rsid w:val="002A73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rsid w:val="002A7393"/>
    <w:rPr>
      <w:rFonts w:eastAsiaTheme="minorHAnsi"/>
      <w:lang w:eastAsia="en-US"/>
    </w:rPr>
  </w:style>
  <w:style w:type="character" w:customStyle="1" w:styleId="a8">
    <w:name w:val="Основной Знак"/>
    <w:link w:val="a7"/>
    <w:rsid w:val="002A739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93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32E0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B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2">
    <w:name w:val="Текст2"/>
    <w:basedOn w:val="a"/>
    <w:rsid w:val="00350B85"/>
    <w:pPr>
      <w:widowControl w:val="0"/>
      <w:suppressAutoHyphens/>
      <w:spacing w:after="0" w:line="240" w:lineRule="auto"/>
    </w:pPr>
    <w:rPr>
      <w:rFonts w:ascii="Courier New" w:eastAsia="Droid Sans" w:hAnsi="Courier New" w:cs="Courier New"/>
      <w:kern w:val="1"/>
      <w:sz w:val="20"/>
      <w:szCs w:val="20"/>
      <w:lang w:eastAsia="zh-CN" w:bidi="hi-IN"/>
    </w:rPr>
  </w:style>
  <w:style w:type="character" w:customStyle="1" w:styleId="80">
    <w:name w:val="Заголовок 8 Знак"/>
    <w:basedOn w:val="a0"/>
    <w:link w:val="8"/>
    <w:rsid w:val="00F81F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3</cp:revision>
  <dcterms:created xsi:type="dcterms:W3CDTF">2020-06-19T05:55:00Z</dcterms:created>
  <dcterms:modified xsi:type="dcterms:W3CDTF">2020-06-19T06:04:00Z</dcterms:modified>
</cp:coreProperties>
</file>