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673C16" w:rsidRPr="00673C16">
        <w:rPr>
          <w:sz w:val="24"/>
          <w:szCs w:val="24"/>
        </w:rPr>
        <w:t>Органическая химия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137A86" w:rsidRDefault="005B5AA6" w:rsidP="00673C16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673C16" w:rsidRPr="00673C16">
        <w:rPr>
          <w:rFonts w:ascii="Times New Roman" w:hAnsi="Times New Roman" w:cs="Times New Roman"/>
          <w:i/>
          <w:color w:val="000000"/>
          <w:sz w:val="24"/>
          <w:szCs w:val="24"/>
        </w:rPr>
        <w:t>Целью изучения дисциплины (модуля) «Органическая химия» является познание способов получения органических веществ вне живой природы, закладка основ профессиональных знаний и навыков по основным тенденциям и законам органической химии и биохимии.</w:t>
      </w:r>
    </w:p>
    <w:p w:rsidR="005B5AA6" w:rsidRDefault="005B5AA6" w:rsidP="00673C16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203D56" w:rsidRPr="00203D5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зачетная единица – </w:t>
      </w:r>
      <w:r w:rsidR="00203D56" w:rsidRPr="00203D56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7A36BE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37A86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409"/>
        <w:gridCol w:w="6947"/>
      </w:tblGrid>
      <w:tr w:rsidR="005B5AA6" w:rsidRPr="007A36BE" w:rsidTr="007A36BE">
        <w:trPr>
          <w:trHeight w:val="323"/>
        </w:trPr>
        <w:tc>
          <w:tcPr>
            <w:tcW w:w="993" w:type="dxa"/>
          </w:tcPr>
          <w:p w:rsidR="005B5AA6" w:rsidRPr="007A36BE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6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36BE">
              <w:rPr>
                <w:sz w:val="20"/>
                <w:szCs w:val="20"/>
              </w:rPr>
              <w:t>/</w:t>
            </w:r>
            <w:proofErr w:type="spellStart"/>
            <w:r w:rsidRPr="007A36BE">
              <w:rPr>
                <w:sz w:val="20"/>
                <w:szCs w:val="20"/>
              </w:rPr>
              <w:t>п</w:t>
            </w:r>
            <w:proofErr w:type="spellEnd"/>
          </w:p>
          <w:p w:rsidR="005B5AA6" w:rsidRPr="007A36BE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раздела</w:t>
            </w:r>
          </w:p>
        </w:tc>
        <w:tc>
          <w:tcPr>
            <w:tcW w:w="2409" w:type="dxa"/>
            <w:vAlign w:val="center"/>
          </w:tcPr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 xml:space="preserve">Основные разделы </w:t>
            </w:r>
          </w:p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>дисциплины</w:t>
            </w:r>
          </w:p>
        </w:tc>
        <w:tc>
          <w:tcPr>
            <w:tcW w:w="6947" w:type="dxa"/>
            <w:vAlign w:val="center"/>
          </w:tcPr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>Краткое содержание разделов дисциплины</w:t>
            </w:r>
          </w:p>
        </w:tc>
      </w:tr>
      <w:tr w:rsidR="00673C16" w:rsidRPr="007A36BE" w:rsidTr="00892220">
        <w:trPr>
          <w:trHeight w:val="321"/>
        </w:trPr>
        <w:tc>
          <w:tcPr>
            <w:tcW w:w="993" w:type="dxa"/>
          </w:tcPr>
          <w:p w:rsidR="00673C16" w:rsidRPr="007A36BE" w:rsidRDefault="00673C1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673C16" w:rsidRDefault="00673C16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органической химии</w:t>
            </w:r>
          </w:p>
        </w:tc>
        <w:tc>
          <w:tcPr>
            <w:tcW w:w="6947" w:type="dxa"/>
            <w:vAlign w:val="center"/>
          </w:tcPr>
          <w:p w:rsidR="001A3A25" w:rsidRPr="001A3A25" w:rsidRDefault="001A3A25" w:rsidP="001A3A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органическую химию. Отличие </w:t>
            </w:r>
            <w:proofErr w:type="gramStart"/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органических</w:t>
            </w:r>
            <w:proofErr w:type="gramEnd"/>
          </w:p>
          <w:p w:rsidR="00673C16" w:rsidRDefault="001A3A25" w:rsidP="001A3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веществ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неорганических.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 ряды, изомерия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Органическая химия. Строение атома углерода, углеродный скелет,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Радикалы. Классификация соединений по функциональным группам.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 органи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соединений.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 непредельные углеводороды Гибридизация атома углерода. Классификация органических соединений. Генетическая связь органических соединений. Функциональные производные углеводородов Изомерия органических соединений.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строения органических соединений Бутлерова.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и пространственные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изомеры.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Структурная и </w:t>
            </w:r>
            <w:proofErr w:type="spellStart"/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конформационная</w:t>
            </w:r>
            <w:proofErr w:type="spellEnd"/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изомерия Кислородсодержащие органические соединения: альдегиды и кетоны, карбоновые кислоты и их производные, спирты и фенолы.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органических веществ Электронные  эффекты в органической химии: </w:t>
            </w:r>
            <w:proofErr w:type="gramStart"/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мезомерный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эффекты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реакций в органической химии.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механиз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протекания реакций Предельные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непредельные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Сопряженные системы. Ароматические углеводороды Гидроксилсодержащие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органические соединения – спир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 фенолы,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альдегиды и 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оны – карбонильные соединения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Альдегиды и кетоны – карбонильные соединения </w:t>
            </w:r>
          </w:p>
        </w:tc>
      </w:tr>
      <w:tr w:rsidR="00673C16" w:rsidRPr="007A36BE" w:rsidTr="00892220">
        <w:trPr>
          <w:trHeight w:val="321"/>
        </w:trPr>
        <w:tc>
          <w:tcPr>
            <w:tcW w:w="993" w:type="dxa"/>
          </w:tcPr>
          <w:p w:rsidR="00673C16" w:rsidRPr="007A36BE" w:rsidRDefault="00673C16" w:rsidP="00B3432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673C16" w:rsidRPr="00055E24" w:rsidRDefault="00673C16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свойства, биологическая роль сахаридов и липидов</w:t>
            </w:r>
          </w:p>
        </w:tc>
        <w:tc>
          <w:tcPr>
            <w:tcW w:w="6947" w:type="dxa"/>
            <w:vAlign w:val="center"/>
          </w:tcPr>
          <w:p w:rsidR="00673C16" w:rsidRPr="0026381F" w:rsidRDefault="001A3A25" w:rsidP="001A3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свойства, биологическая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моно – и олигосахаридов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свойства, биологическая роль 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гетеро полисахаридов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троение, свойства, биологи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кая роль простых липидов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Карбоновые кислоты и их производные </w:t>
            </w:r>
          </w:p>
        </w:tc>
      </w:tr>
      <w:tr w:rsidR="00673C16" w:rsidRPr="007A36BE" w:rsidTr="00892220">
        <w:trPr>
          <w:trHeight w:val="321"/>
        </w:trPr>
        <w:tc>
          <w:tcPr>
            <w:tcW w:w="993" w:type="dxa"/>
          </w:tcPr>
          <w:p w:rsidR="00673C16" w:rsidRPr="007A36BE" w:rsidRDefault="00673C16" w:rsidP="00B3432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73C16" w:rsidRPr="00055E24" w:rsidRDefault="00673C16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состав белков и их функции</w:t>
            </w:r>
          </w:p>
        </w:tc>
        <w:tc>
          <w:tcPr>
            <w:tcW w:w="6947" w:type="dxa"/>
            <w:vAlign w:val="center"/>
          </w:tcPr>
          <w:p w:rsidR="001A3A25" w:rsidRPr="001A3A25" w:rsidRDefault="001A3A25" w:rsidP="001A3A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Аминокислотный состав белков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Уровни структур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организации </w:t>
            </w:r>
          </w:p>
          <w:p w:rsidR="00673C16" w:rsidRPr="001A3A25" w:rsidRDefault="001A3A25" w:rsidP="001A3A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белков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Физико-химические свойства белков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белков, простые и сложные белки </w:t>
            </w:r>
          </w:p>
        </w:tc>
      </w:tr>
      <w:tr w:rsidR="00673C16" w:rsidRPr="007A36BE" w:rsidTr="00892220">
        <w:trPr>
          <w:trHeight w:val="321"/>
        </w:trPr>
        <w:tc>
          <w:tcPr>
            <w:tcW w:w="993" w:type="dxa"/>
          </w:tcPr>
          <w:p w:rsidR="00673C16" w:rsidRPr="007A36BE" w:rsidRDefault="00673C1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673C16" w:rsidRPr="00055E24" w:rsidRDefault="00673C16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свойства, биологическая роль белков</w:t>
            </w:r>
          </w:p>
        </w:tc>
        <w:tc>
          <w:tcPr>
            <w:tcW w:w="6947" w:type="dxa"/>
            <w:vAlign w:val="center"/>
          </w:tcPr>
          <w:p w:rsidR="00673C16" w:rsidRPr="00212457" w:rsidRDefault="00673C16" w:rsidP="001A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3A25"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белки –</w:t>
            </w:r>
            <w:r w:rsid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3A25"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свойства Строение, свойства, биологическая роль нуклеотидов Строение, свой</w:t>
            </w:r>
            <w:r w:rsid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1A3A25" w:rsidRPr="001A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биологическая роль нуклеиновых кислот Обмен веществ и энергии в живых системах Гетероциклические соединения – основа биологически активных веществ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203D56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1A3A25">
        <w:rPr>
          <w:sz w:val="24"/>
          <w:szCs w:val="24"/>
        </w:rPr>
        <w:t>экзамен</w:t>
      </w:r>
    </w:p>
    <w:sectPr w:rsidR="00C32AF1" w:rsidRPr="00203D56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137A86"/>
    <w:rsid w:val="001619A8"/>
    <w:rsid w:val="001A3A25"/>
    <w:rsid w:val="00203D56"/>
    <w:rsid w:val="00212457"/>
    <w:rsid w:val="005232DF"/>
    <w:rsid w:val="005B5AA6"/>
    <w:rsid w:val="005E0297"/>
    <w:rsid w:val="0061237C"/>
    <w:rsid w:val="00673C16"/>
    <w:rsid w:val="007463E4"/>
    <w:rsid w:val="007A36BE"/>
    <w:rsid w:val="007D501A"/>
    <w:rsid w:val="0086340E"/>
    <w:rsid w:val="009D2313"/>
    <w:rsid w:val="00AB441F"/>
    <w:rsid w:val="00AE7EB2"/>
    <w:rsid w:val="00C32AF1"/>
    <w:rsid w:val="00CA0F1C"/>
    <w:rsid w:val="00E85D76"/>
    <w:rsid w:val="00ED34E2"/>
    <w:rsid w:val="00F62188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99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3</cp:revision>
  <dcterms:created xsi:type="dcterms:W3CDTF">2020-11-30T20:36:00Z</dcterms:created>
  <dcterms:modified xsi:type="dcterms:W3CDTF">2020-11-30T20:42:00Z</dcterms:modified>
</cp:coreProperties>
</file>